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center"/>
        <w:outlineLvl w:val="0"/>
        <w:rPr>
          <w:rFonts w:hint="eastAsia" w:ascii="宋体" w:hAnsi="宋体" w:eastAsia="宋体" w:cs="宋体"/>
          <w:b/>
          <w:sz w:val="96"/>
          <w:szCs w:val="96"/>
          <w:highlight w:val="none"/>
          <w:lang w:eastAsia="zh-CN"/>
        </w:rPr>
      </w:pPr>
    </w:p>
    <w:p>
      <w:pPr>
        <w:pStyle w:val="25"/>
        <w:jc w:val="center"/>
        <w:outlineLvl w:val="0"/>
        <w:rPr>
          <w:rFonts w:hint="eastAsia" w:ascii="宋体" w:hAnsi="宋体" w:eastAsia="宋体" w:cs="宋体"/>
          <w:b/>
          <w:sz w:val="96"/>
          <w:szCs w:val="96"/>
          <w:highlight w:val="none"/>
          <w:lang w:eastAsia="zh-CN"/>
        </w:rPr>
      </w:pPr>
    </w:p>
    <w:p>
      <w:pPr>
        <w:pStyle w:val="2"/>
        <w:widowControl/>
        <w:shd w:val="clear" w:color="auto" w:fill="FFFFFF"/>
        <w:spacing w:before="0" w:beforeAutospacing="0" w:after="0" w:afterAutospacing="0"/>
        <w:jc w:val="center"/>
        <w:rPr>
          <w:rFonts w:hint="eastAsia" w:cs="宋体"/>
          <w:sz w:val="72"/>
          <w:szCs w:val="72"/>
          <w:highlight w:val="none"/>
          <w:shd w:val="clear" w:color="auto" w:fill="FFFFFF"/>
        </w:rPr>
      </w:pPr>
      <w:bookmarkStart w:id="0" w:name="_Toc20075"/>
      <w:r>
        <w:rPr>
          <w:rFonts w:hint="eastAsia" w:cs="宋体"/>
          <w:sz w:val="72"/>
          <w:szCs w:val="72"/>
          <w:highlight w:val="none"/>
          <w:shd w:val="clear" w:color="auto" w:fill="FFFFFF"/>
        </w:rPr>
        <w:t>福建省辐射环境监督站</w:t>
      </w:r>
    </w:p>
    <w:p>
      <w:pPr>
        <w:pStyle w:val="2"/>
        <w:widowControl/>
        <w:shd w:val="clear" w:color="auto" w:fill="FFFFFF"/>
        <w:spacing w:before="0" w:beforeAutospacing="0" w:after="0" w:afterAutospacing="0"/>
        <w:jc w:val="center"/>
        <w:rPr>
          <w:rFonts w:cs="宋体"/>
          <w:sz w:val="72"/>
          <w:szCs w:val="72"/>
          <w:highlight w:val="none"/>
          <w:shd w:val="clear" w:color="auto" w:fill="FFFFFF"/>
        </w:rPr>
      </w:pPr>
      <w:r>
        <w:rPr>
          <w:rFonts w:cs="宋体"/>
          <w:sz w:val="72"/>
          <w:szCs w:val="72"/>
          <w:highlight w:val="none"/>
          <w:shd w:val="clear" w:color="auto" w:fill="FFFFFF"/>
        </w:rPr>
        <w:t>竞争性磋商文件</w:t>
      </w:r>
      <w:bookmarkEnd w:id="0"/>
    </w:p>
    <w:p>
      <w:pPr>
        <w:pStyle w:val="25"/>
        <w:jc w:val="center"/>
        <w:rPr>
          <w:rFonts w:hint="default" w:ascii="宋体" w:hAnsi="宋体" w:eastAsia="宋体" w:cs="宋体"/>
          <w:b/>
          <w:sz w:val="52"/>
          <w:szCs w:val="52"/>
          <w:highlight w:val="none"/>
        </w:rPr>
      </w:pPr>
    </w:p>
    <w:p>
      <w:pPr>
        <w:pStyle w:val="25"/>
        <w:jc w:val="center"/>
        <w:rPr>
          <w:rFonts w:hint="default" w:ascii="宋体" w:hAnsi="宋体" w:eastAsia="宋体" w:cs="宋体"/>
          <w:b/>
          <w:sz w:val="52"/>
          <w:szCs w:val="52"/>
          <w:highlight w:val="none"/>
        </w:rPr>
      </w:pPr>
    </w:p>
    <w:p>
      <w:pPr>
        <w:pStyle w:val="25"/>
        <w:jc w:val="both"/>
        <w:rPr>
          <w:rFonts w:hint="default" w:ascii="宋体" w:hAnsi="宋体" w:eastAsia="宋体" w:cs="宋体"/>
          <w:b/>
          <w:sz w:val="56"/>
          <w:szCs w:val="56"/>
          <w:highlight w:val="none"/>
        </w:rPr>
      </w:pPr>
    </w:p>
    <w:p>
      <w:pPr>
        <w:pStyle w:val="25"/>
        <w:jc w:val="center"/>
        <w:outlineLvl w:val="0"/>
        <w:rPr>
          <w:rFonts w:hint="eastAsia" w:ascii="宋体" w:hAnsi="宋体" w:eastAsia="宋体" w:cs="宋体"/>
          <w:sz w:val="32"/>
          <w:szCs w:val="32"/>
          <w:highlight w:val="none"/>
          <w:lang w:eastAsia="zh-CN"/>
        </w:rPr>
      </w:pPr>
      <w:bookmarkStart w:id="1" w:name="_Toc19989"/>
      <w:bookmarkStart w:id="2" w:name="_Toc151924344"/>
      <w:r>
        <w:rPr>
          <w:rFonts w:ascii="宋体" w:hAnsi="宋体" w:eastAsia="宋体" w:cs="宋体"/>
          <w:b/>
          <w:sz w:val="32"/>
          <w:szCs w:val="32"/>
          <w:highlight w:val="none"/>
        </w:rPr>
        <w:t>项目名称：</w:t>
      </w:r>
      <w:bookmarkEnd w:id="1"/>
      <w:bookmarkEnd w:id="2"/>
      <w:bookmarkStart w:id="3" w:name="_Toc151924345"/>
      <w:bookmarkStart w:id="4" w:name="_Toc4487"/>
      <w:r>
        <w:rPr>
          <w:rFonts w:hint="eastAsia" w:ascii="宋体" w:hAnsi="宋体" w:eastAsia="宋体" w:cs="宋体"/>
          <w:b/>
          <w:sz w:val="32"/>
          <w:szCs w:val="32"/>
          <w:highlight w:val="none"/>
        </w:rPr>
        <w:t>福建省辐射环境监督站实验室耗材协议供应商比选</w:t>
      </w:r>
      <w:r>
        <w:rPr>
          <w:rFonts w:ascii="宋体" w:hAnsi="宋体" w:eastAsia="宋体" w:cs="宋体"/>
          <w:b/>
          <w:sz w:val="32"/>
          <w:szCs w:val="32"/>
          <w:highlight w:val="none"/>
        </w:rPr>
        <w:t>项目编号：</w:t>
      </w:r>
      <w:bookmarkEnd w:id="3"/>
      <w:bookmarkEnd w:id="4"/>
      <w:r>
        <w:rPr>
          <w:rFonts w:hint="eastAsia" w:ascii="宋体" w:hAnsi="宋体" w:eastAsia="宋体" w:cs="宋体"/>
          <w:b/>
          <w:sz w:val="32"/>
          <w:szCs w:val="32"/>
          <w:highlight w:val="none"/>
          <w:lang w:eastAsia="zh-CN"/>
        </w:rPr>
        <w:t>2024-SAZB-CS-006</w:t>
      </w:r>
    </w:p>
    <w:p>
      <w:pPr>
        <w:pStyle w:val="25"/>
        <w:jc w:val="center"/>
        <w:rPr>
          <w:rFonts w:hint="default" w:ascii="宋体" w:hAnsi="宋体" w:eastAsia="宋体" w:cs="宋体"/>
          <w:b/>
          <w:sz w:val="32"/>
          <w:szCs w:val="32"/>
          <w:highlight w:val="none"/>
        </w:rPr>
      </w:pPr>
    </w:p>
    <w:p>
      <w:pPr>
        <w:pStyle w:val="25"/>
        <w:jc w:val="center"/>
        <w:rPr>
          <w:rFonts w:hint="default" w:ascii="宋体" w:hAnsi="宋体" w:eastAsia="宋体" w:cs="宋体"/>
          <w:b/>
          <w:sz w:val="32"/>
          <w:szCs w:val="32"/>
          <w:highlight w:val="none"/>
        </w:rPr>
      </w:pPr>
    </w:p>
    <w:p>
      <w:pPr>
        <w:pStyle w:val="25"/>
        <w:jc w:val="center"/>
        <w:rPr>
          <w:rFonts w:hint="default" w:ascii="宋体" w:hAnsi="宋体" w:eastAsia="宋体" w:cs="宋体"/>
          <w:b/>
          <w:sz w:val="32"/>
          <w:szCs w:val="32"/>
          <w:highlight w:val="none"/>
        </w:rPr>
      </w:pPr>
    </w:p>
    <w:p>
      <w:pPr>
        <w:pStyle w:val="25"/>
        <w:jc w:val="center"/>
        <w:rPr>
          <w:rFonts w:hint="eastAsia" w:ascii="宋体" w:hAnsi="宋体" w:eastAsia="宋体" w:cs="宋体"/>
          <w:sz w:val="32"/>
          <w:szCs w:val="32"/>
          <w:highlight w:val="none"/>
          <w:lang w:eastAsia="zh-CN"/>
        </w:rPr>
      </w:pPr>
      <w:r>
        <w:rPr>
          <w:rFonts w:ascii="宋体" w:hAnsi="宋体" w:eastAsia="宋体" w:cs="宋体"/>
          <w:b/>
          <w:sz w:val="32"/>
          <w:szCs w:val="32"/>
          <w:highlight w:val="none"/>
        </w:rPr>
        <w:t>采购人：</w:t>
      </w:r>
      <w:r>
        <w:rPr>
          <w:rFonts w:hint="eastAsia" w:ascii="宋体" w:hAnsi="宋体" w:eastAsia="宋体" w:cs="宋体"/>
          <w:b/>
          <w:sz w:val="32"/>
          <w:szCs w:val="32"/>
          <w:highlight w:val="none"/>
          <w:lang w:eastAsia="zh-CN"/>
        </w:rPr>
        <w:t>福建省辐射环境监督站</w:t>
      </w:r>
    </w:p>
    <w:p>
      <w:pPr>
        <w:pStyle w:val="25"/>
        <w:jc w:val="center"/>
        <w:outlineLvl w:val="0"/>
        <w:rPr>
          <w:rFonts w:hint="eastAsia" w:ascii="宋体" w:hAnsi="宋体" w:eastAsia="宋体" w:cs="宋体"/>
          <w:sz w:val="32"/>
          <w:szCs w:val="32"/>
          <w:highlight w:val="none"/>
          <w:lang w:eastAsia="zh-CN"/>
        </w:rPr>
      </w:pPr>
      <w:bookmarkStart w:id="5" w:name="_Toc151924346"/>
      <w:bookmarkStart w:id="6" w:name="_Toc4461"/>
      <w:r>
        <w:rPr>
          <w:rFonts w:ascii="宋体" w:hAnsi="宋体" w:eastAsia="宋体" w:cs="宋体"/>
          <w:b/>
          <w:sz w:val="32"/>
          <w:szCs w:val="32"/>
          <w:highlight w:val="none"/>
        </w:rPr>
        <w:t>代理机构：</w:t>
      </w:r>
      <w:bookmarkEnd w:id="5"/>
      <w:bookmarkEnd w:id="6"/>
      <w:r>
        <w:rPr>
          <w:rFonts w:hint="eastAsia" w:ascii="宋体" w:hAnsi="宋体" w:eastAsia="宋体" w:cs="宋体"/>
          <w:b/>
          <w:sz w:val="32"/>
          <w:szCs w:val="32"/>
          <w:highlight w:val="none"/>
          <w:lang w:eastAsia="zh-CN"/>
        </w:rPr>
        <w:t>福建顺安招标代理有限公司</w:t>
      </w:r>
    </w:p>
    <w:p>
      <w:pPr>
        <w:pStyle w:val="25"/>
        <w:jc w:val="center"/>
        <w:rPr>
          <w:rFonts w:hint="default" w:ascii="宋体" w:hAnsi="宋体" w:eastAsia="宋体" w:cs="宋体"/>
          <w:b/>
          <w:sz w:val="36"/>
          <w:szCs w:val="36"/>
          <w:highlight w:val="none"/>
        </w:rPr>
      </w:pPr>
    </w:p>
    <w:p>
      <w:pPr>
        <w:pStyle w:val="25"/>
        <w:jc w:val="center"/>
        <w:rPr>
          <w:rFonts w:hint="default" w:ascii="宋体" w:hAnsi="宋体" w:eastAsia="宋体" w:cs="宋体"/>
          <w:b/>
          <w:sz w:val="36"/>
          <w:szCs w:val="36"/>
          <w:highlight w:val="none"/>
        </w:rPr>
      </w:pPr>
    </w:p>
    <w:p>
      <w:pPr>
        <w:pStyle w:val="14"/>
        <w:rPr>
          <w:b/>
          <w:bCs/>
          <w:sz w:val="32"/>
          <w:szCs w:val="32"/>
          <w:highlight w:val="none"/>
        </w:rPr>
        <w:sectPr>
          <w:pgSz w:w="11906" w:h="16838"/>
          <w:pgMar w:top="1417" w:right="1587" w:bottom="1417" w:left="1587" w:header="851" w:footer="992" w:gutter="0"/>
          <w:pgNumType w:start="1"/>
          <w:cols w:space="425" w:num="1"/>
          <w:docGrid w:type="lines" w:linePitch="312" w:charSpace="0"/>
        </w:sectPr>
      </w:pPr>
      <w:r>
        <w:rPr>
          <w:rFonts w:hint="eastAsia"/>
          <w:b/>
          <w:bCs/>
          <w:sz w:val="32"/>
          <w:szCs w:val="32"/>
          <w:highlight w:val="none"/>
        </w:rPr>
        <w:t>编制时间：2024年0</w:t>
      </w:r>
      <w:r>
        <w:rPr>
          <w:rFonts w:hint="eastAsia"/>
          <w:b/>
          <w:bCs/>
          <w:sz w:val="32"/>
          <w:szCs w:val="32"/>
          <w:highlight w:val="none"/>
          <w:lang w:val="en-US" w:eastAsia="zh-CN"/>
        </w:rPr>
        <w:t>4</w:t>
      </w:r>
      <w:r>
        <w:rPr>
          <w:rFonts w:hint="eastAsia"/>
          <w:b/>
          <w:bCs/>
          <w:sz w:val="32"/>
          <w:szCs w:val="32"/>
          <w:highlight w:val="none"/>
        </w:rPr>
        <w:t>月</w:t>
      </w:r>
    </w:p>
    <w:p>
      <w:pPr>
        <w:pStyle w:val="14"/>
        <w:rPr>
          <w:rFonts w:hint="eastAsia" w:ascii="宋体" w:hAnsi="宋体" w:eastAsia="宋体" w:cs="宋体"/>
          <w:sz w:val="30"/>
          <w:szCs w:val="30"/>
          <w:highlight w:val="none"/>
        </w:rPr>
      </w:pPr>
      <w:r>
        <w:rPr>
          <w:rFonts w:hint="eastAsia" w:ascii="宋体" w:hAnsi="宋体" w:eastAsia="宋体" w:cs="宋体"/>
          <w:b/>
          <w:bCs/>
          <w:sz w:val="32"/>
          <w:szCs w:val="32"/>
          <w:highlight w:val="none"/>
        </w:rPr>
        <w:t>目  录</w:t>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TOC \o "1-3" \h \z \u </w:instrText>
      </w:r>
      <w:r>
        <w:rPr>
          <w:rFonts w:hint="eastAsia" w:ascii="宋体" w:hAnsi="宋体" w:eastAsia="宋体" w:cs="宋体"/>
          <w:sz w:val="30"/>
          <w:szCs w:val="30"/>
          <w:highlight w:val="none"/>
        </w:rPr>
        <w:fldChar w:fldCharType="separate"/>
      </w:r>
    </w:p>
    <w:p>
      <w:pPr>
        <w:pStyle w:val="14"/>
        <w:rPr>
          <w:rFonts w:hint="eastAsia" w:ascii="宋体" w:hAnsi="宋体" w:eastAsia="宋体" w:cs="宋体"/>
          <w:b w:val="0"/>
          <w:bCs w:val="0"/>
          <w:sz w:val="30"/>
          <w:szCs w:val="30"/>
          <w:highlight w:val="none"/>
        </w:rPr>
      </w:pPr>
    </w:p>
    <w:p>
      <w:pPr>
        <w:pStyle w:val="14"/>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HYPERLINK \l "_Toc151924347" </w:instrText>
      </w:r>
      <w:r>
        <w:rPr>
          <w:rFonts w:hint="eastAsia" w:ascii="宋体" w:hAnsi="宋体" w:eastAsia="宋体" w:cs="宋体"/>
          <w:b w:val="0"/>
          <w:bCs w:val="0"/>
          <w:sz w:val="30"/>
          <w:szCs w:val="30"/>
          <w:highlight w:val="none"/>
        </w:rPr>
        <w:fldChar w:fldCharType="separate"/>
      </w:r>
      <w:r>
        <w:rPr>
          <w:rStyle w:val="22"/>
          <w:rFonts w:hint="eastAsia" w:ascii="宋体" w:hAnsi="宋体" w:eastAsia="宋体" w:cs="宋体"/>
          <w:b w:val="0"/>
          <w:bCs w:val="0"/>
          <w:color w:val="auto"/>
          <w:sz w:val="30"/>
          <w:szCs w:val="30"/>
          <w:highlight w:val="none"/>
        </w:rPr>
        <w:t xml:space="preserve">第一章 </w:t>
      </w:r>
      <w:r>
        <w:rPr>
          <w:rStyle w:val="22"/>
          <w:rFonts w:hint="eastAsia" w:ascii="宋体" w:hAnsi="宋体" w:eastAsia="宋体" w:cs="宋体"/>
          <w:b w:val="0"/>
          <w:bCs w:val="0"/>
          <w:color w:val="auto"/>
          <w:sz w:val="30"/>
          <w:szCs w:val="30"/>
          <w:highlight w:val="none"/>
          <w:lang w:val="en-US" w:eastAsia="zh-CN"/>
        </w:rPr>
        <w:t xml:space="preserve"> </w:t>
      </w:r>
      <w:r>
        <w:rPr>
          <w:rStyle w:val="22"/>
          <w:rFonts w:hint="eastAsia" w:ascii="宋体" w:hAnsi="宋体" w:eastAsia="宋体" w:cs="宋体"/>
          <w:b w:val="0"/>
          <w:bCs w:val="0"/>
          <w:color w:val="auto"/>
          <w:sz w:val="30"/>
          <w:szCs w:val="30"/>
          <w:highlight w:val="none"/>
        </w:rPr>
        <w:t>采购邀请书</w:t>
      </w:r>
      <w:r>
        <w:rPr>
          <w:rFonts w:hint="eastAsia" w:ascii="宋体" w:hAnsi="宋体" w:eastAsia="宋体" w:cs="宋体"/>
          <w:b w:val="0"/>
          <w:bCs w:val="0"/>
          <w:sz w:val="30"/>
          <w:szCs w:val="30"/>
          <w:highlight w:val="none"/>
        </w:rPr>
        <w:tab/>
      </w: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PAGEREF _Toc151924347 \h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rPr>
        <w:t>1</w:t>
      </w:r>
      <w:r>
        <w:rPr>
          <w:rFonts w:hint="eastAsia" w:ascii="宋体" w:hAnsi="宋体" w:eastAsia="宋体" w:cs="宋体"/>
          <w:b w:val="0"/>
          <w:bCs w:val="0"/>
          <w:sz w:val="30"/>
          <w:szCs w:val="30"/>
          <w:highlight w:val="none"/>
        </w:rPr>
        <w:fldChar w:fldCharType="end"/>
      </w:r>
      <w:r>
        <w:rPr>
          <w:rFonts w:hint="eastAsia" w:ascii="宋体" w:hAnsi="宋体" w:eastAsia="宋体" w:cs="宋体"/>
          <w:b w:val="0"/>
          <w:bCs w:val="0"/>
          <w:sz w:val="30"/>
          <w:szCs w:val="30"/>
          <w:highlight w:val="none"/>
        </w:rPr>
        <w:fldChar w:fldCharType="end"/>
      </w:r>
    </w:p>
    <w:p>
      <w:pPr>
        <w:pStyle w:val="14"/>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HYPERLINK \l "_Toc151924348" </w:instrText>
      </w:r>
      <w:r>
        <w:rPr>
          <w:rFonts w:hint="eastAsia" w:ascii="宋体" w:hAnsi="宋体" w:eastAsia="宋体" w:cs="宋体"/>
          <w:b w:val="0"/>
          <w:bCs w:val="0"/>
          <w:sz w:val="30"/>
          <w:szCs w:val="30"/>
          <w:highlight w:val="none"/>
        </w:rPr>
        <w:fldChar w:fldCharType="separate"/>
      </w:r>
      <w:r>
        <w:rPr>
          <w:rStyle w:val="22"/>
          <w:rFonts w:hint="eastAsia" w:ascii="宋体" w:hAnsi="宋体" w:eastAsia="宋体" w:cs="宋体"/>
          <w:b w:val="0"/>
          <w:bCs w:val="0"/>
          <w:sz w:val="30"/>
          <w:szCs w:val="30"/>
          <w:highlight w:val="none"/>
        </w:rPr>
        <w:t xml:space="preserve">第二章 </w:t>
      </w:r>
      <w:r>
        <w:rPr>
          <w:rStyle w:val="22"/>
          <w:rFonts w:hint="eastAsia" w:ascii="宋体" w:hAnsi="宋体" w:eastAsia="宋体" w:cs="宋体"/>
          <w:b w:val="0"/>
          <w:bCs w:val="0"/>
          <w:sz w:val="30"/>
          <w:szCs w:val="30"/>
          <w:highlight w:val="none"/>
          <w:lang w:val="en-US" w:eastAsia="zh-CN"/>
        </w:rPr>
        <w:t xml:space="preserve"> </w:t>
      </w:r>
      <w:r>
        <w:rPr>
          <w:rStyle w:val="22"/>
          <w:rFonts w:hint="eastAsia" w:ascii="宋体" w:hAnsi="宋体" w:eastAsia="宋体" w:cs="宋体"/>
          <w:b w:val="0"/>
          <w:bCs w:val="0"/>
          <w:sz w:val="30"/>
          <w:szCs w:val="30"/>
          <w:highlight w:val="none"/>
        </w:rPr>
        <w:t>竞争性磋商须知</w:t>
      </w:r>
      <w:r>
        <w:rPr>
          <w:rFonts w:hint="eastAsia" w:ascii="宋体" w:hAnsi="宋体" w:eastAsia="宋体" w:cs="宋体"/>
          <w:b w:val="0"/>
          <w:bCs w:val="0"/>
          <w:sz w:val="30"/>
          <w:szCs w:val="30"/>
          <w:highlight w:val="none"/>
        </w:rPr>
        <w:tab/>
      </w: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PAGEREF _Toc151924348 \h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rPr>
        <w:t>3</w:t>
      </w:r>
      <w:r>
        <w:rPr>
          <w:rFonts w:hint="eastAsia" w:ascii="宋体" w:hAnsi="宋体" w:eastAsia="宋体" w:cs="宋体"/>
          <w:b w:val="0"/>
          <w:bCs w:val="0"/>
          <w:sz w:val="30"/>
          <w:szCs w:val="30"/>
          <w:highlight w:val="none"/>
        </w:rPr>
        <w:fldChar w:fldCharType="end"/>
      </w:r>
      <w:r>
        <w:rPr>
          <w:rFonts w:hint="eastAsia" w:ascii="宋体" w:hAnsi="宋体" w:eastAsia="宋体" w:cs="宋体"/>
          <w:b w:val="0"/>
          <w:bCs w:val="0"/>
          <w:sz w:val="30"/>
          <w:szCs w:val="30"/>
          <w:highlight w:val="none"/>
        </w:rPr>
        <w:fldChar w:fldCharType="end"/>
      </w:r>
    </w:p>
    <w:p>
      <w:pPr>
        <w:pStyle w:val="14"/>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HYPERLINK \l "_Toc151924349" </w:instrText>
      </w:r>
      <w:r>
        <w:rPr>
          <w:rFonts w:hint="eastAsia" w:ascii="宋体" w:hAnsi="宋体" w:eastAsia="宋体" w:cs="宋体"/>
          <w:b w:val="0"/>
          <w:bCs w:val="0"/>
          <w:sz w:val="30"/>
          <w:szCs w:val="30"/>
          <w:highlight w:val="none"/>
        </w:rPr>
        <w:fldChar w:fldCharType="separate"/>
      </w:r>
      <w:r>
        <w:rPr>
          <w:rStyle w:val="22"/>
          <w:rFonts w:hint="eastAsia" w:ascii="宋体" w:hAnsi="宋体" w:eastAsia="宋体" w:cs="宋体"/>
          <w:b w:val="0"/>
          <w:bCs w:val="0"/>
          <w:color w:val="auto"/>
          <w:sz w:val="30"/>
          <w:szCs w:val="30"/>
          <w:highlight w:val="none"/>
        </w:rPr>
        <w:t xml:space="preserve">第三章 </w:t>
      </w:r>
      <w:r>
        <w:rPr>
          <w:rStyle w:val="22"/>
          <w:rFonts w:hint="eastAsia" w:ascii="宋体" w:hAnsi="宋体" w:eastAsia="宋体" w:cs="宋体"/>
          <w:b w:val="0"/>
          <w:bCs w:val="0"/>
          <w:color w:val="auto"/>
          <w:sz w:val="30"/>
          <w:szCs w:val="30"/>
          <w:highlight w:val="none"/>
          <w:lang w:val="en-US" w:eastAsia="zh-CN"/>
        </w:rPr>
        <w:t xml:space="preserve"> </w:t>
      </w:r>
      <w:r>
        <w:rPr>
          <w:rStyle w:val="22"/>
          <w:rFonts w:hint="eastAsia" w:ascii="宋体" w:hAnsi="宋体" w:eastAsia="宋体" w:cs="宋体"/>
          <w:b w:val="0"/>
          <w:bCs w:val="0"/>
          <w:color w:val="auto"/>
          <w:sz w:val="30"/>
          <w:szCs w:val="30"/>
          <w:highlight w:val="none"/>
        </w:rPr>
        <w:t>采购内容及要求</w:t>
      </w:r>
      <w:r>
        <w:rPr>
          <w:rFonts w:hint="eastAsia" w:ascii="宋体" w:hAnsi="宋体" w:eastAsia="宋体" w:cs="宋体"/>
          <w:b w:val="0"/>
          <w:bCs w:val="0"/>
          <w:sz w:val="30"/>
          <w:szCs w:val="30"/>
          <w:highlight w:val="none"/>
        </w:rPr>
        <w:tab/>
      </w: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PAGEREF _Toc151924349 \h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rPr>
        <w:t>34</w:t>
      </w:r>
      <w:r>
        <w:rPr>
          <w:rFonts w:hint="eastAsia" w:ascii="宋体" w:hAnsi="宋体" w:eastAsia="宋体" w:cs="宋体"/>
          <w:b w:val="0"/>
          <w:bCs w:val="0"/>
          <w:sz w:val="30"/>
          <w:szCs w:val="30"/>
          <w:highlight w:val="none"/>
        </w:rPr>
        <w:fldChar w:fldCharType="end"/>
      </w:r>
      <w:r>
        <w:rPr>
          <w:rFonts w:hint="eastAsia" w:ascii="宋体" w:hAnsi="宋体" w:eastAsia="宋体" w:cs="宋体"/>
          <w:b w:val="0"/>
          <w:bCs w:val="0"/>
          <w:sz w:val="30"/>
          <w:szCs w:val="30"/>
          <w:highlight w:val="none"/>
        </w:rPr>
        <w:fldChar w:fldCharType="end"/>
      </w:r>
    </w:p>
    <w:p>
      <w:pPr>
        <w:pStyle w:val="14"/>
        <w:rPr>
          <w:rFonts w:hint="eastAsia" w:ascii="宋体" w:hAnsi="宋体" w:eastAsia="宋体" w:cs="宋体"/>
          <w:b w:val="0"/>
          <w:bCs w:val="0"/>
          <w:sz w:val="30"/>
          <w:szCs w:val="30"/>
          <w:highlight w:val="none"/>
        </w:rPr>
      </w:pP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HYPERLINK \l "_Toc151924352" </w:instrText>
      </w:r>
      <w:r>
        <w:rPr>
          <w:rFonts w:hint="eastAsia" w:ascii="宋体" w:hAnsi="宋体" w:eastAsia="宋体" w:cs="宋体"/>
          <w:b w:val="0"/>
          <w:bCs w:val="0"/>
          <w:sz w:val="30"/>
          <w:szCs w:val="30"/>
          <w:highlight w:val="none"/>
        </w:rPr>
        <w:fldChar w:fldCharType="separate"/>
      </w:r>
      <w:r>
        <w:rPr>
          <w:rStyle w:val="22"/>
          <w:rFonts w:hint="eastAsia" w:ascii="宋体" w:hAnsi="宋体" w:eastAsia="宋体" w:cs="宋体"/>
          <w:b w:val="0"/>
          <w:bCs w:val="0"/>
          <w:sz w:val="30"/>
          <w:szCs w:val="30"/>
          <w:highlight w:val="none"/>
        </w:rPr>
        <w:t xml:space="preserve">第四章 </w:t>
      </w:r>
      <w:r>
        <w:rPr>
          <w:rStyle w:val="22"/>
          <w:rFonts w:hint="eastAsia" w:ascii="宋体" w:hAnsi="宋体" w:eastAsia="宋体" w:cs="宋体"/>
          <w:b w:val="0"/>
          <w:bCs w:val="0"/>
          <w:sz w:val="30"/>
          <w:szCs w:val="30"/>
          <w:highlight w:val="none"/>
          <w:lang w:val="en-US" w:eastAsia="zh-CN"/>
        </w:rPr>
        <w:t xml:space="preserve"> </w:t>
      </w:r>
      <w:r>
        <w:rPr>
          <w:rStyle w:val="22"/>
          <w:rFonts w:hint="eastAsia" w:ascii="宋体" w:hAnsi="宋体" w:eastAsia="宋体" w:cs="宋体"/>
          <w:b w:val="0"/>
          <w:bCs w:val="0"/>
          <w:sz w:val="30"/>
          <w:szCs w:val="30"/>
          <w:highlight w:val="none"/>
        </w:rPr>
        <w:t>合同主要条款及格式</w:t>
      </w:r>
      <w:r>
        <w:rPr>
          <w:rFonts w:hint="eastAsia" w:ascii="宋体" w:hAnsi="宋体" w:eastAsia="宋体" w:cs="宋体"/>
          <w:b w:val="0"/>
          <w:bCs w:val="0"/>
          <w:sz w:val="30"/>
          <w:szCs w:val="30"/>
          <w:highlight w:val="none"/>
        </w:rPr>
        <w:tab/>
      </w: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PAGEREF _Toc151924352 \h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rPr>
        <w:t>59</w:t>
      </w:r>
      <w:r>
        <w:rPr>
          <w:rFonts w:hint="eastAsia" w:ascii="宋体" w:hAnsi="宋体" w:eastAsia="宋体" w:cs="宋体"/>
          <w:b w:val="0"/>
          <w:bCs w:val="0"/>
          <w:sz w:val="30"/>
          <w:szCs w:val="30"/>
          <w:highlight w:val="none"/>
        </w:rPr>
        <w:fldChar w:fldCharType="end"/>
      </w:r>
      <w:r>
        <w:rPr>
          <w:rFonts w:hint="eastAsia" w:ascii="宋体" w:hAnsi="宋体" w:eastAsia="宋体" w:cs="宋体"/>
          <w:b w:val="0"/>
          <w:bCs w:val="0"/>
          <w:sz w:val="30"/>
          <w:szCs w:val="30"/>
          <w:highlight w:val="none"/>
        </w:rPr>
        <w:fldChar w:fldCharType="end"/>
      </w:r>
    </w:p>
    <w:p>
      <w:pPr>
        <w:pStyle w:val="14"/>
        <w:rPr>
          <w:rFonts w:hint="eastAsia" w:ascii="宋体" w:hAnsi="宋体" w:eastAsia="宋体" w:cs="宋体"/>
          <w:sz w:val="30"/>
          <w:szCs w:val="30"/>
          <w:highlight w:val="none"/>
        </w:rPr>
      </w:pP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HYPERLINK \l "_Toc151924353" </w:instrText>
      </w:r>
      <w:r>
        <w:rPr>
          <w:rFonts w:hint="eastAsia" w:ascii="宋体" w:hAnsi="宋体" w:eastAsia="宋体" w:cs="宋体"/>
          <w:b w:val="0"/>
          <w:bCs w:val="0"/>
          <w:sz w:val="30"/>
          <w:szCs w:val="30"/>
          <w:highlight w:val="none"/>
        </w:rPr>
        <w:fldChar w:fldCharType="separate"/>
      </w:r>
      <w:r>
        <w:rPr>
          <w:rStyle w:val="22"/>
          <w:rFonts w:hint="eastAsia" w:ascii="宋体" w:hAnsi="宋体" w:eastAsia="宋体" w:cs="宋体"/>
          <w:b w:val="0"/>
          <w:bCs w:val="0"/>
          <w:sz w:val="30"/>
          <w:szCs w:val="30"/>
          <w:highlight w:val="none"/>
        </w:rPr>
        <w:t xml:space="preserve">第五章 </w:t>
      </w:r>
      <w:r>
        <w:rPr>
          <w:rStyle w:val="22"/>
          <w:rFonts w:hint="eastAsia" w:ascii="宋体" w:hAnsi="宋体" w:eastAsia="宋体" w:cs="宋体"/>
          <w:b w:val="0"/>
          <w:bCs w:val="0"/>
          <w:sz w:val="30"/>
          <w:szCs w:val="30"/>
          <w:highlight w:val="none"/>
          <w:lang w:val="en-US" w:eastAsia="zh-CN"/>
        </w:rPr>
        <w:t xml:space="preserve"> </w:t>
      </w:r>
      <w:r>
        <w:rPr>
          <w:rStyle w:val="22"/>
          <w:rFonts w:hint="eastAsia" w:ascii="宋体" w:hAnsi="宋体" w:eastAsia="宋体" w:cs="宋体"/>
          <w:b w:val="0"/>
          <w:bCs w:val="0"/>
          <w:sz w:val="30"/>
          <w:szCs w:val="30"/>
          <w:highlight w:val="none"/>
        </w:rPr>
        <w:t>首次响应文件格式</w:t>
      </w:r>
      <w:r>
        <w:rPr>
          <w:rFonts w:hint="eastAsia" w:ascii="宋体" w:hAnsi="宋体" w:eastAsia="宋体" w:cs="宋体"/>
          <w:b w:val="0"/>
          <w:bCs w:val="0"/>
          <w:sz w:val="30"/>
          <w:szCs w:val="30"/>
          <w:highlight w:val="none"/>
        </w:rPr>
        <w:tab/>
      </w:r>
      <w:r>
        <w:rPr>
          <w:rFonts w:hint="eastAsia" w:ascii="宋体" w:hAnsi="宋体" w:eastAsia="宋体" w:cs="宋体"/>
          <w:b w:val="0"/>
          <w:bCs w:val="0"/>
          <w:sz w:val="30"/>
          <w:szCs w:val="30"/>
          <w:highlight w:val="none"/>
        </w:rPr>
        <w:fldChar w:fldCharType="begin"/>
      </w:r>
      <w:r>
        <w:rPr>
          <w:rFonts w:hint="eastAsia" w:ascii="宋体" w:hAnsi="宋体" w:eastAsia="宋体" w:cs="宋体"/>
          <w:b w:val="0"/>
          <w:bCs w:val="0"/>
          <w:sz w:val="30"/>
          <w:szCs w:val="30"/>
          <w:highlight w:val="none"/>
        </w:rPr>
        <w:instrText xml:space="preserve"> PAGEREF _Toc151924353 \h </w:instrText>
      </w:r>
      <w:r>
        <w:rPr>
          <w:rFonts w:hint="eastAsia" w:ascii="宋体" w:hAnsi="宋体" w:eastAsia="宋体" w:cs="宋体"/>
          <w:b w:val="0"/>
          <w:bCs w:val="0"/>
          <w:sz w:val="30"/>
          <w:szCs w:val="30"/>
          <w:highlight w:val="none"/>
        </w:rPr>
        <w:fldChar w:fldCharType="separate"/>
      </w:r>
      <w:r>
        <w:rPr>
          <w:rFonts w:hint="eastAsia" w:ascii="宋体" w:hAnsi="宋体" w:eastAsia="宋体" w:cs="宋体"/>
          <w:b w:val="0"/>
          <w:bCs w:val="0"/>
          <w:sz w:val="30"/>
          <w:szCs w:val="30"/>
          <w:highlight w:val="none"/>
        </w:rPr>
        <w:t>65</w:t>
      </w:r>
      <w:r>
        <w:rPr>
          <w:rFonts w:hint="eastAsia" w:ascii="宋体" w:hAnsi="宋体" w:eastAsia="宋体" w:cs="宋体"/>
          <w:b w:val="0"/>
          <w:bCs w:val="0"/>
          <w:sz w:val="30"/>
          <w:szCs w:val="30"/>
          <w:highlight w:val="none"/>
        </w:rPr>
        <w:fldChar w:fldCharType="end"/>
      </w:r>
      <w:r>
        <w:rPr>
          <w:rFonts w:hint="eastAsia" w:ascii="宋体" w:hAnsi="宋体" w:eastAsia="宋体" w:cs="宋体"/>
          <w:b w:val="0"/>
          <w:bCs w:val="0"/>
          <w:sz w:val="30"/>
          <w:szCs w:val="30"/>
          <w:highlight w:val="none"/>
        </w:rPr>
        <w:fldChar w:fldCharType="end"/>
      </w:r>
    </w:p>
    <w:p>
      <w:pPr>
        <w:rPr>
          <w:rFonts w:cs="宋体" w:asciiTheme="minorEastAsia" w:hAnsiTheme="minorEastAsia"/>
          <w:b/>
          <w:sz w:val="28"/>
          <w:szCs w:val="28"/>
          <w:highlight w:val="none"/>
        </w:rPr>
      </w:pPr>
      <w:r>
        <w:rPr>
          <w:rFonts w:hint="eastAsia" w:ascii="宋体" w:hAnsi="宋体" w:eastAsia="宋体" w:cs="宋体"/>
          <w:b/>
          <w:sz w:val="30"/>
          <w:szCs w:val="30"/>
          <w:highlight w:val="none"/>
        </w:rPr>
        <w:fldChar w:fldCharType="end"/>
      </w:r>
    </w:p>
    <w:p>
      <w:pPr>
        <w:pStyle w:val="25"/>
        <w:jc w:val="center"/>
        <w:outlineLvl w:val="0"/>
        <w:rPr>
          <w:rFonts w:ascii="宋体" w:hAnsi="宋体" w:eastAsia="宋体" w:cs="宋体"/>
          <w:b/>
          <w:sz w:val="28"/>
          <w:szCs w:val="28"/>
          <w:highlight w:val="none"/>
        </w:rPr>
        <w:sectPr>
          <w:footerReference r:id="rId3" w:type="default"/>
          <w:pgSz w:w="11906" w:h="16838"/>
          <w:pgMar w:top="1417" w:right="1587" w:bottom="1417" w:left="1587" w:header="851" w:footer="992" w:gutter="0"/>
          <w:pgNumType w:fmt="decimal" w:start="1"/>
          <w:cols w:space="425" w:num="1"/>
          <w:docGrid w:type="lines" w:linePitch="312" w:charSpace="0"/>
        </w:sectPr>
      </w:pPr>
      <w:bookmarkStart w:id="7" w:name="_Toc151924347"/>
    </w:p>
    <w:p>
      <w:pPr>
        <w:pStyle w:val="25"/>
        <w:jc w:val="center"/>
        <w:outlineLvl w:val="0"/>
        <w:rPr>
          <w:rFonts w:hint="default" w:ascii="宋体" w:hAnsi="宋体" w:eastAsia="宋体" w:cs="宋体"/>
          <w:sz w:val="28"/>
          <w:szCs w:val="28"/>
          <w:highlight w:val="none"/>
        </w:rPr>
      </w:pPr>
      <w:r>
        <w:rPr>
          <w:rFonts w:ascii="宋体" w:hAnsi="宋体" w:eastAsia="宋体" w:cs="宋体"/>
          <w:b/>
          <w:sz w:val="28"/>
          <w:szCs w:val="28"/>
          <w:highlight w:val="none"/>
        </w:rPr>
        <w:t>第一章 采购邀请书</w:t>
      </w:r>
      <w:bookmarkEnd w:id="7"/>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竞争性磋商采购公告</w:t>
      </w:r>
    </w:p>
    <w:p>
      <w:pPr>
        <w:pStyle w:val="25"/>
        <w:spacing w:line="360" w:lineRule="auto"/>
        <w:ind w:firstLine="480"/>
        <w:rPr>
          <w:rFonts w:hint="default" w:ascii="宋体" w:hAnsi="宋体" w:eastAsia="宋体" w:cs="宋体"/>
          <w:sz w:val="24"/>
          <w:szCs w:val="24"/>
          <w:highlight w:val="none"/>
        </w:rPr>
      </w:pPr>
      <w:r>
        <w:rPr>
          <w:rFonts w:hint="eastAsia" w:ascii="宋体" w:hAnsi="宋体" w:eastAsia="宋体" w:cs="宋体"/>
          <w:sz w:val="24"/>
          <w:szCs w:val="24"/>
          <w:highlight w:val="none"/>
          <w:lang w:eastAsia="zh-CN"/>
        </w:rPr>
        <w:t>福建省辐射环境监督站</w:t>
      </w:r>
      <w:r>
        <w:rPr>
          <w:rFonts w:ascii="宋体" w:hAnsi="宋体" w:eastAsia="宋体" w:cs="宋体"/>
          <w:sz w:val="24"/>
          <w:szCs w:val="24"/>
          <w:highlight w:val="none"/>
        </w:rPr>
        <w:t>已根据采购相关法律法规，经相应程序确定采用竞争性磋商方式组织</w:t>
      </w:r>
      <w:r>
        <w:rPr>
          <w:rFonts w:hint="eastAsia" w:ascii="宋体" w:hAnsi="宋体" w:eastAsia="宋体" w:cs="宋体"/>
          <w:sz w:val="24"/>
          <w:szCs w:val="24"/>
          <w:highlight w:val="none"/>
        </w:rPr>
        <w:t>福建省辐射环境监督站实验室耗材协议供应商比选</w:t>
      </w:r>
      <w:r>
        <w:rPr>
          <w:rFonts w:ascii="宋体" w:hAnsi="宋体" w:eastAsia="宋体" w:cs="宋体"/>
          <w:sz w:val="24"/>
          <w:szCs w:val="24"/>
          <w:highlight w:val="none"/>
        </w:rPr>
        <w:t>（以下简称：“本项目”）的采购活动，现欢迎国内合格的供应商前来参加。本项目由采购人委托</w:t>
      </w:r>
      <w:r>
        <w:rPr>
          <w:rFonts w:hint="eastAsia" w:ascii="宋体" w:hAnsi="宋体" w:eastAsia="宋体" w:cs="宋体"/>
          <w:sz w:val="24"/>
          <w:szCs w:val="24"/>
          <w:highlight w:val="none"/>
          <w:lang w:eastAsia="zh-CN"/>
        </w:rPr>
        <w:t>福建顺安招标代理有限公司</w:t>
      </w:r>
      <w:r>
        <w:rPr>
          <w:rFonts w:ascii="宋体" w:hAnsi="宋体" w:eastAsia="宋体" w:cs="宋体"/>
          <w:sz w:val="24"/>
          <w:szCs w:val="24"/>
          <w:highlight w:val="none"/>
        </w:rPr>
        <w:t>开展竞争性磋商活动。</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1.项目名称：</w:t>
      </w:r>
      <w:r>
        <w:rPr>
          <w:rFonts w:hint="eastAsia" w:ascii="宋体" w:hAnsi="宋体" w:eastAsia="宋体" w:cs="宋体"/>
          <w:sz w:val="24"/>
          <w:szCs w:val="24"/>
          <w:highlight w:val="none"/>
          <w:lang w:eastAsia="zh-CN"/>
        </w:rPr>
        <w:t>福建省辐射环境监督站实验室耗材协议供应商比选</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2.备案编号：/</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3.项目编号：</w:t>
      </w:r>
      <w:r>
        <w:rPr>
          <w:rFonts w:hint="eastAsia" w:ascii="宋体" w:hAnsi="宋体" w:eastAsia="宋体" w:cs="宋体"/>
          <w:b w:val="0"/>
          <w:bCs/>
          <w:sz w:val="24"/>
          <w:szCs w:val="24"/>
          <w:highlight w:val="none"/>
          <w:lang w:eastAsia="zh-CN"/>
        </w:rPr>
        <w:t>2024-SAZB-CS-006</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4.采购内容及要求：</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采购包预算金额（元）:</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采购包最高限价（元）:</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 </w:t>
      </w:r>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816"/>
        <w:gridCol w:w="2147"/>
        <w:gridCol w:w="1114"/>
        <w:gridCol w:w="1226"/>
        <w:gridCol w:w="1393"/>
        <w:gridCol w:w="14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2" w:hRule="atLeast"/>
        </w:trPr>
        <w:tc>
          <w:tcPr>
            <w:tcW w:w="456" w:type="pct"/>
            <w:vAlign w:val="center"/>
          </w:tcPr>
          <w:p>
            <w:pPr>
              <w:pStyle w:val="25"/>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采购包</w:t>
            </w:r>
          </w:p>
        </w:tc>
        <w:tc>
          <w:tcPr>
            <w:tcW w:w="456" w:type="pct"/>
            <w:vAlign w:val="center"/>
          </w:tcPr>
          <w:p>
            <w:pPr>
              <w:pStyle w:val="25"/>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99" w:type="pct"/>
            <w:vAlign w:val="center"/>
          </w:tcPr>
          <w:p>
            <w:pPr>
              <w:pStyle w:val="25"/>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标的名称</w:t>
            </w:r>
          </w:p>
        </w:tc>
        <w:tc>
          <w:tcPr>
            <w:tcW w:w="622" w:type="pct"/>
            <w:vAlign w:val="center"/>
          </w:tcPr>
          <w:p>
            <w:pPr>
              <w:pStyle w:val="25"/>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685" w:type="pct"/>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标的金额（元）</w:t>
            </w:r>
          </w:p>
        </w:tc>
        <w:tc>
          <w:tcPr>
            <w:tcW w:w="778" w:type="pct"/>
            <w:vAlign w:val="center"/>
          </w:tcPr>
          <w:p>
            <w:pPr>
              <w:pStyle w:val="25"/>
              <w:jc w:val="center"/>
              <w:rPr>
                <w:rFonts w:hint="default" w:ascii="宋体" w:hAnsi="宋体" w:eastAsia="宋体" w:cs="宋体"/>
                <w:color w:val="auto"/>
                <w:sz w:val="24"/>
                <w:szCs w:val="24"/>
                <w:highlight w:val="none"/>
              </w:rPr>
            </w:pPr>
            <w:r>
              <w:rPr>
                <w:rFonts w:ascii="宋体" w:hAnsi="宋体" w:eastAsia="宋体" w:cs="宋体"/>
                <w:color w:val="auto"/>
                <w:sz w:val="24"/>
                <w:highlight w:val="none"/>
              </w:rPr>
              <w:t>中小企业划分标准</w:t>
            </w:r>
          </w:p>
        </w:tc>
        <w:tc>
          <w:tcPr>
            <w:tcW w:w="799" w:type="pct"/>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磋商保证金</w:t>
            </w:r>
          </w:p>
          <w:p>
            <w:pPr>
              <w:pStyle w:val="25"/>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2" w:hRule="atLeast"/>
        </w:trPr>
        <w:tc>
          <w:tcPr>
            <w:tcW w:w="456" w:type="pct"/>
            <w:vMerge w:val="restart"/>
            <w:vAlign w:val="center"/>
          </w:tcPr>
          <w:p>
            <w:pPr>
              <w:pStyle w:val="25"/>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456" w:type="pct"/>
            <w:vAlign w:val="center"/>
          </w:tcPr>
          <w:p>
            <w:pPr>
              <w:pStyle w:val="25"/>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w:t>
            </w:r>
          </w:p>
        </w:tc>
        <w:tc>
          <w:tcPr>
            <w:tcW w:w="1199" w:type="pct"/>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rPr>
              <w:t>化学耗材</w:t>
            </w:r>
          </w:p>
        </w:tc>
        <w:tc>
          <w:tcPr>
            <w:tcW w:w="622" w:type="pct"/>
            <w:vAlign w:val="center"/>
          </w:tcPr>
          <w:p>
            <w:pPr>
              <w:widowControl/>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1(批)</w:t>
            </w:r>
          </w:p>
        </w:tc>
        <w:tc>
          <w:tcPr>
            <w:tcW w:w="685" w:type="pct"/>
            <w:vAlign w:val="center"/>
          </w:tcPr>
          <w:p>
            <w:pPr>
              <w:widowControl/>
              <w:jc w:val="center"/>
              <w:rPr>
                <w:rFonts w:ascii="宋体" w:hAnsi="宋体" w:eastAsia="宋体" w:cs="宋体"/>
                <w:color w:val="auto"/>
                <w:sz w:val="24"/>
                <w:highlight w:val="none"/>
              </w:rPr>
            </w:pPr>
            <w:r>
              <w:rPr>
                <w:rFonts w:hint="eastAsia" w:ascii="宋体" w:hAnsi="宋体" w:cs="宋体"/>
                <w:kern w:val="0"/>
                <w:sz w:val="24"/>
                <w:highlight w:val="none"/>
                <w:lang w:bidi="ar"/>
              </w:rPr>
              <w:t>无具体预算</w:t>
            </w:r>
          </w:p>
        </w:tc>
        <w:tc>
          <w:tcPr>
            <w:tcW w:w="778" w:type="pct"/>
            <w:tcBorders>
              <w:bottom w:val="single" w:color="auto" w:sz="4" w:space="0"/>
            </w:tcBorders>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工业</w:t>
            </w:r>
          </w:p>
        </w:tc>
        <w:tc>
          <w:tcPr>
            <w:tcW w:w="799" w:type="pct"/>
            <w:vMerge w:val="restart"/>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2" w:hRule="atLeast"/>
        </w:trPr>
        <w:tc>
          <w:tcPr>
            <w:tcW w:w="456" w:type="pct"/>
            <w:vMerge w:val="continue"/>
            <w:vAlign w:val="center"/>
          </w:tcPr>
          <w:p>
            <w:pPr>
              <w:pStyle w:val="25"/>
              <w:jc w:val="center"/>
              <w:rPr>
                <w:rFonts w:hint="default" w:ascii="宋体" w:hAnsi="宋体" w:eastAsia="宋体" w:cs="宋体"/>
                <w:color w:val="auto"/>
                <w:sz w:val="24"/>
                <w:szCs w:val="24"/>
                <w:highlight w:val="none"/>
              </w:rPr>
            </w:pPr>
          </w:p>
        </w:tc>
        <w:tc>
          <w:tcPr>
            <w:tcW w:w="456" w:type="pct"/>
            <w:vAlign w:val="center"/>
          </w:tcPr>
          <w:p>
            <w:pPr>
              <w:pStyle w:val="25"/>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1-2</w:t>
            </w:r>
          </w:p>
        </w:tc>
        <w:tc>
          <w:tcPr>
            <w:tcW w:w="1199" w:type="pct"/>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化学试剂</w:t>
            </w:r>
          </w:p>
        </w:tc>
        <w:tc>
          <w:tcPr>
            <w:tcW w:w="622" w:type="pct"/>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(批)</w:t>
            </w:r>
          </w:p>
        </w:tc>
        <w:tc>
          <w:tcPr>
            <w:tcW w:w="685" w:type="pct"/>
            <w:vAlign w:val="center"/>
          </w:tcPr>
          <w:p>
            <w:pPr>
              <w:widowControl/>
              <w:jc w:val="center"/>
              <w:rPr>
                <w:rFonts w:ascii="宋体" w:hAnsi="宋体" w:eastAsia="宋体" w:cs="宋体"/>
                <w:color w:val="auto"/>
                <w:sz w:val="24"/>
                <w:highlight w:val="none"/>
              </w:rPr>
            </w:pPr>
            <w:r>
              <w:rPr>
                <w:rFonts w:hint="eastAsia" w:ascii="宋体" w:hAnsi="宋体" w:cs="宋体"/>
                <w:kern w:val="0"/>
                <w:sz w:val="24"/>
                <w:highlight w:val="none"/>
                <w:lang w:bidi="ar"/>
              </w:rPr>
              <w:t>无具体预算</w:t>
            </w:r>
          </w:p>
        </w:tc>
        <w:tc>
          <w:tcPr>
            <w:tcW w:w="778" w:type="pct"/>
            <w:tcBorders>
              <w:top w:val="single" w:color="auto" w:sz="4" w:space="0"/>
            </w:tcBorders>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工业</w:t>
            </w:r>
          </w:p>
        </w:tc>
        <w:tc>
          <w:tcPr>
            <w:tcW w:w="799" w:type="pct"/>
            <w:vMerge w:val="continue"/>
            <w:vAlign w:val="center"/>
          </w:tcPr>
          <w:p>
            <w:pPr>
              <w:widowControl/>
              <w:jc w:val="center"/>
              <w:rPr>
                <w:rFonts w:ascii="宋体" w:hAnsi="宋体" w:eastAsia="宋体" w:cs="宋体"/>
                <w:color w:val="auto"/>
                <w:kern w:val="0"/>
                <w:sz w:val="24"/>
                <w:highlight w:val="none"/>
              </w:rPr>
            </w:pPr>
          </w:p>
        </w:tc>
      </w:tr>
    </w:tbl>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5.采购项目需要落实的政策：</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促进中小企业发展的相关政策：</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采购包1：不专门面向中小企业</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6.供应商的资格要求：</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6.1法定条件：符合《中华人民共和国政府采购法》第二十二条第一款规定的条件。</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6.2特定条件：</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54"/>
        <w:gridCol w:w="65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pct"/>
            <w:vAlign w:val="center"/>
          </w:tcPr>
          <w:p>
            <w:pPr>
              <w:pStyle w:val="25"/>
              <w:spacing w:line="360" w:lineRule="auto"/>
              <w:jc w:val="center"/>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资格审查要求概况</w:t>
            </w:r>
          </w:p>
        </w:tc>
        <w:tc>
          <w:tcPr>
            <w:tcW w:w="3683" w:type="pct"/>
            <w:vAlign w:val="center"/>
          </w:tcPr>
          <w:p>
            <w:pPr>
              <w:pStyle w:val="25"/>
              <w:spacing w:line="360" w:lineRule="auto"/>
              <w:jc w:val="center"/>
              <w:rPr>
                <w:rFonts w:hint="default" w:ascii="宋体" w:hAnsi="宋体" w:eastAsia="宋体" w:cs="宋体"/>
                <w:bCs/>
                <w:color w:val="auto"/>
                <w:sz w:val="24"/>
                <w:szCs w:val="24"/>
                <w:highlight w:val="none"/>
              </w:rPr>
            </w:pPr>
            <w:r>
              <w:rPr>
                <w:rFonts w:ascii="宋体" w:hAnsi="宋体" w:eastAsia="宋体" w:cs="宋体"/>
                <w:bCs/>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pct"/>
            <w:vAlign w:val="center"/>
          </w:tcPr>
          <w:p>
            <w:pPr>
              <w:pStyle w:val="25"/>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资格1</w:t>
            </w:r>
          </w:p>
        </w:tc>
        <w:tc>
          <w:tcPr>
            <w:tcW w:w="3683" w:type="pct"/>
            <w:vAlign w:val="center"/>
          </w:tcPr>
          <w:p>
            <w:pPr>
              <w:pStyle w:val="25"/>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须提供有效期内依法登记注册的具有玻璃器皿、化学试剂（含易制毒化学品，如甲苯、硫酸、盐酸等）经营范围证明复印件；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pct"/>
            <w:vAlign w:val="center"/>
          </w:tcPr>
          <w:p>
            <w:pPr>
              <w:pStyle w:val="25"/>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资格2</w:t>
            </w:r>
          </w:p>
        </w:tc>
        <w:tc>
          <w:tcPr>
            <w:tcW w:w="3683" w:type="pct"/>
            <w:vAlign w:val="center"/>
          </w:tcPr>
          <w:p>
            <w:pPr>
              <w:pStyle w:val="25"/>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须提供具有危险化学品经营许可证；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54" w:type="dxa"/>
            <w:vAlign w:val="top"/>
          </w:tcPr>
          <w:p>
            <w:pPr>
              <w:pStyle w:val="25"/>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rPr>
              <w:t>关于“提供财务状况报告（财务报告、或资信证明）” 补充要求</w:t>
            </w:r>
          </w:p>
        </w:tc>
        <w:tc>
          <w:tcPr>
            <w:tcW w:w="6589" w:type="dxa"/>
            <w:vAlign w:val="top"/>
          </w:tcPr>
          <w:p>
            <w:pPr>
              <w:pStyle w:val="25"/>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sz w:val="24"/>
                <w:szCs w:val="24"/>
                <w:highlight w:val="none"/>
              </w:rPr>
              <w:t>提供上一年度或2022年度经审计的财务审计报告（至少包含资产负债表、现金流量表、利润表）或提供响应文件递交截止时间前六个月（不含响应文件递交截止时间的当月）内基本开户行出具的资信证明</w:t>
            </w:r>
            <w:r>
              <w:rPr>
                <w:rFonts w:hint="eastAsia" w:ascii="宋体" w:hAnsi="宋体" w:eastAsia="宋体" w:cs="宋体"/>
                <w:sz w:val="24"/>
                <w:szCs w:val="24"/>
                <w:highlight w:val="none"/>
                <w:lang w:val="en-US" w:eastAsia="zh-CN"/>
              </w:rPr>
              <w:t>。</w:t>
            </w:r>
          </w:p>
        </w:tc>
      </w:tr>
    </w:tbl>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6.3是否接受联合体形式的响应磋商：采购包1：不接受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※根据上述资格要求，供应商响应文件中应提交的“资格证明文件”相关规定和资料要求，详见竞争性磋商须知前附表和磋商文件第五章。</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7.竞争性磋商文件获取期限：</w:t>
      </w:r>
      <w:r>
        <w:rPr>
          <w:rFonts w:hint="eastAsia" w:ascii="宋体" w:eastAsia="宋体"/>
          <w:sz w:val="24"/>
          <w:szCs w:val="24"/>
          <w:highlight w:val="none"/>
          <w:u w:val="single"/>
          <w:lang w:val="en-US" w:eastAsia="zh-CN"/>
        </w:rPr>
        <w:t>公告发布之时至响应文件递交截止时间</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竞争性磋商文件获取</w:t>
      </w:r>
      <w:r>
        <w:rPr>
          <w:rFonts w:hint="eastAsia" w:ascii="宋体" w:hAnsi="宋体" w:eastAsia="宋体" w:cs="宋体"/>
          <w:b/>
          <w:sz w:val="24"/>
          <w:szCs w:val="24"/>
          <w:highlight w:val="none"/>
          <w:lang w:val="en-US" w:eastAsia="zh-CN"/>
        </w:rPr>
        <w:t>方式</w:t>
      </w:r>
      <w:r>
        <w:rPr>
          <w:rFonts w:hint="eastAsia" w:ascii="宋体" w:hAnsi="宋体" w:eastAsia="宋体" w:cs="宋体"/>
          <w:color w:val="auto"/>
          <w:sz w:val="24"/>
          <w:highlight w:val="none"/>
        </w:rPr>
        <w:t>：</w:t>
      </w:r>
      <w:r>
        <w:rPr>
          <w:rFonts w:hint="eastAsia" w:ascii="宋体" w:hAnsi="宋体"/>
          <w:sz w:val="24"/>
          <w:szCs w:val="24"/>
          <w:highlight w:val="none"/>
        </w:rPr>
        <w:t>从福建省生态环境厅官网的“公告公示”栏里下载。</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9.采购文件售价：</w:t>
      </w:r>
      <w:r>
        <w:rPr>
          <w:rFonts w:hint="eastAsia" w:ascii="宋体" w:hAnsi="宋体" w:eastAsia="宋体" w:cs="宋体"/>
          <w:bCs/>
          <w:sz w:val="24"/>
          <w:szCs w:val="24"/>
          <w:highlight w:val="none"/>
        </w:rPr>
        <w:t>磋商文件纸质/电子文本售价0元。</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10.首次响应文件递交截止时间及地点：</w:t>
      </w:r>
      <w:r>
        <w:rPr>
          <w:rFonts w:hint="eastAsia" w:ascii="宋体" w:hAnsi="宋体" w:eastAsia="宋体" w:cs="宋体"/>
          <w:sz w:val="24"/>
          <w:szCs w:val="24"/>
          <w:highlight w:val="none"/>
        </w:rPr>
        <w:t>详见磋商公告或更正公告（若有），若不一致，以更正公告（若有）为准。供应商应在此之前将密封的首次响应文件送达本章第11条载明的地点，逾期送达的或不符合规定的响应文件将被拒绝接收。</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11.磋商时间及地点：</w:t>
      </w:r>
      <w:r>
        <w:rPr>
          <w:rFonts w:hint="eastAsia" w:ascii="宋体" w:hAnsi="宋体" w:eastAsia="宋体" w:cs="宋体"/>
          <w:sz w:val="24"/>
          <w:szCs w:val="24"/>
          <w:highlight w:val="none"/>
        </w:rPr>
        <w:t>详见磋商公告或更正公告（若有），若不一致，以更正公告（若有）为准。</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12.竞争性磋商公告期限：</w:t>
      </w:r>
      <w:r>
        <w:rPr>
          <w:rFonts w:hint="eastAsia" w:ascii="宋体" w:hAnsi="宋体" w:eastAsia="宋体" w:cs="宋体"/>
          <w:sz w:val="24"/>
          <w:szCs w:val="24"/>
          <w:highlight w:val="none"/>
          <w:lang w:val="en-US" w:eastAsia="zh-CN"/>
        </w:rPr>
        <w:t>自</w:t>
      </w:r>
      <w:r>
        <w:rPr>
          <w:rFonts w:hint="eastAsia" w:ascii="宋体" w:hAnsi="宋体" w:eastAsia="宋体" w:cs="宋体"/>
          <w:sz w:val="24"/>
          <w:szCs w:val="24"/>
          <w:highlight w:val="none"/>
        </w:rPr>
        <w:t>公告</w:t>
      </w:r>
      <w:r>
        <w:rPr>
          <w:rFonts w:hint="eastAsia" w:ascii="宋体" w:hAnsi="宋体" w:eastAsia="宋体" w:cs="宋体"/>
          <w:sz w:val="24"/>
          <w:szCs w:val="24"/>
          <w:highlight w:val="none"/>
          <w:lang w:val="en-US" w:eastAsia="zh-CN"/>
        </w:rPr>
        <w:t>发布</w:t>
      </w:r>
      <w:r>
        <w:rPr>
          <w:rFonts w:hint="eastAsia" w:ascii="宋体" w:hAnsi="宋体" w:eastAsia="宋体" w:cs="宋体"/>
          <w:sz w:val="24"/>
          <w:szCs w:val="24"/>
          <w:highlight w:val="none"/>
        </w:rPr>
        <w:t>之日起3个工作日。</w:t>
      </w:r>
    </w:p>
    <w:p>
      <w:pPr>
        <w:pStyle w:val="25"/>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sz w:val="24"/>
          <w:szCs w:val="24"/>
          <w:highlight w:val="none"/>
        </w:rPr>
        <w:t>13、采购人：</w:t>
      </w:r>
      <w:r>
        <w:rPr>
          <w:rFonts w:hint="eastAsia" w:ascii="宋体" w:hAnsi="宋体" w:eastAsia="宋体" w:cs="宋体"/>
          <w:b/>
          <w:color w:val="auto"/>
          <w:sz w:val="24"/>
          <w:szCs w:val="24"/>
          <w:highlight w:val="none"/>
        </w:rPr>
        <w:t>福建省辐射环境监督站</w:t>
      </w:r>
    </w:p>
    <w:p>
      <w:pPr>
        <w:pStyle w:val="25"/>
        <w:shd w:val="clear"/>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rPr>
        <w:t>福州市晋安区福飞北路400号</w:t>
      </w:r>
    </w:p>
    <w:p>
      <w:pPr>
        <w:pStyle w:val="25"/>
        <w:shd w:val="clear"/>
        <w:spacing w:line="360" w:lineRule="auto"/>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 xml:space="preserve"> 联系人：</w:t>
      </w:r>
      <w:r>
        <w:rPr>
          <w:rFonts w:hint="eastAsia" w:ascii="宋体" w:hAnsi="宋体" w:eastAsia="宋体" w:cs="宋体"/>
          <w:color w:val="auto"/>
          <w:sz w:val="24"/>
          <w:szCs w:val="24"/>
          <w:highlight w:val="none"/>
          <w:lang w:val="en-US" w:eastAsia="zh-CN"/>
        </w:rPr>
        <w:t>黄先</w:t>
      </w:r>
      <w:r>
        <w:rPr>
          <w:rFonts w:hint="eastAsia" w:ascii="宋体" w:eastAsia="宋体" w:cs="宋体"/>
          <w:sz w:val="24"/>
          <w:szCs w:val="24"/>
          <w:highlight w:val="none"/>
          <w:lang w:val="en-US" w:eastAsia="zh-CN"/>
        </w:rPr>
        <w:t>生</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rPr>
        <w:t>0591-87710307</w:t>
      </w:r>
    </w:p>
    <w:p>
      <w:pPr>
        <w:pStyle w:val="25"/>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sz w:val="24"/>
          <w:szCs w:val="24"/>
          <w:highlight w:val="none"/>
        </w:rPr>
        <w:t>14、代理机构：</w:t>
      </w:r>
      <w:r>
        <w:rPr>
          <w:rFonts w:hint="eastAsia" w:ascii="宋体" w:hAnsi="宋体" w:eastAsia="宋体" w:cs="宋体"/>
          <w:b/>
          <w:color w:val="auto"/>
          <w:sz w:val="24"/>
          <w:szCs w:val="24"/>
          <w:highlight w:val="none"/>
          <w:lang w:eastAsia="zh-CN"/>
        </w:rPr>
        <w:t>福建顺安招标代理有限公司</w:t>
      </w:r>
    </w:p>
    <w:p>
      <w:pPr>
        <w:pStyle w:val="25"/>
        <w:shd w:val="clear"/>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地址：</w:t>
      </w:r>
      <w:r>
        <w:rPr>
          <w:rFonts w:hint="eastAsia" w:ascii="宋体" w:hAnsi="宋体" w:eastAsia="宋体" w:cs="宋体"/>
          <w:color w:val="auto"/>
          <w:sz w:val="24"/>
          <w:highlight w:val="none"/>
          <w:u w:val="none"/>
          <w:lang w:eastAsia="zh-CN"/>
        </w:rPr>
        <w:t>福州市鼓楼区湖东路79号福建外运大厦六层东区</w:t>
      </w:r>
    </w:p>
    <w:p>
      <w:pPr>
        <w:pStyle w:val="25"/>
        <w:shd w:val="clear"/>
        <w:spacing w:line="360" w:lineRule="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联系人：</w:t>
      </w:r>
      <w:r>
        <w:rPr>
          <w:rFonts w:hint="eastAsia" w:ascii="宋体" w:hAnsi="宋体" w:eastAsia="宋体" w:cs="宋体"/>
          <w:color w:val="auto"/>
          <w:sz w:val="24"/>
          <w:highlight w:val="none"/>
          <w:u w:val="none"/>
          <w:lang w:val="en-US" w:eastAsia="zh-CN"/>
        </w:rPr>
        <w:t>陈丽娜、</w:t>
      </w:r>
      <w:r>
        <w:rPr>
          <w:rFonts w:hint="eastAsia" w:ascii="宋体" w:hAnsi="宋体" w:eastAsia="宋体" w:cs="宋体"/>
          <w:color w:val="auto"/>
          <w:sz w:val="24"/>
          <w:szCs w:val="24"/>
          <w:highlight w:val="none"/>
          <w:lang w:val="en-US" w:eastAsia="zh-CN"/>
        </w:rPr>
        <w:t>林升晶</w:t>
      </w:r>
    </w:p>
    <w:p>
      <w:pPr>
        <w:pStyle w:val="25"/>
        <w:shd w:val="clear"/>
        <w:spacing w:line="360" w:lineRule="auto"/>
        <w:rPr>
          <w:rFonts w:hint="eastAsia" w:ascii="宋体" w:hAnsi="宋体" w:eastAsia="宋体" w:cs="宋体"/>
          <w:sz w:val="24"/>
          <w:szCs w:val="24"/>
          <w:highlight w:val="none"/>
        </w:rPr>
      </w:pPr>
      <w:r>
        <w:rPr>
          <w:rFonts w:ascii="宋体" w:hAnsi="宋体" w:eastAsia="宋体" w:cs="宋体"/>
          <w:color w:val="auto"/>
          <w:sz w:val="24"/>
          <w:szCs w:val="24"/>
          <w:highlight w:val="none"/>
        </w:rPr>
        <w:t xml:space="preserve"> 联系电话：</w:t>
      </w:r>
      <w:r>
        <w:rPr>
          <w:rFonts w:hint="eastAsia" w:ascii="宋体" w:hAnsi="宋体" w:eastAsia="宋体" w:cs="宋体"/>
          <w:color w:val="auto"/>
          <w:sz w:val="24"/>
          <w:highlight w:val="none"/>
          <w:u w:val="none"/>
        </w:rPr>
        <w:t>0591</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87620860</w:t>
      </w:r>
    </w:p>
    <w:p>
      <w:pPr>
        <w:rPr>
          <w:rFonts w:hint="eastAsia" w:ascii="宋体" w:hAnsi="宋体" w:eastAsia="宋体" w:cs="宋体"/>
          <w:b/>
          <w:sz w:val="24"/>
          <w:szCs w:val="24"/>
          <w:highlight w:val="none"/>
        </w:rPr>
      </w:pPr>
    </w:p>
    <w:p>
      <w:pPr>
        <w:rPr>
          <w:rFonts w:hint="eastAsia" w:ascii="宋体" w:hAnsi="宋体" w:eastAsia="宋体" w:cs="宋体"/>
          <w:b/>
          <w:sz w:val="24"/>
          <w:szCs w:val="24"/>
          <w:highlight w:val="none"/>
        </w:rPr>
      </w:pPr>
    </w:p>
    <w:p>
      <w:pPr>
        <w:rPr>
          <w:rFonts w:hint="eastAsia" w:ascii="宋体" w:hAnsi="宋体" w:eastAsia="宋体" w:cs="宋体"/>
          <w:b/>
          <w:sz w:val="24"/>
          <w:szCs w:val="24"/>
          <w:highlight w:val="none"/>
        </w:rPr>
      </w:pPr>
    </w:p>
    <w:p>
      <w:pPr>
        <w:rPr>
          <w:rFonts w:hint="eastAsia" w:ascii="宋体" w:hAnsi="宋体" w:eastAsia="宋体" w:cs="宋体"/>
          <w:b/>
          <w:sz w:val="24"/>
          <w:szCs w:val="24"/>
          <w:highlight w:val="none"/>
        </w:rPr>
      </w:pPr>
    </w:p>
    <w:p>
      <w:pPr>
        <w:rPr>
          <w:rFonts w:hint="eastAsia" w:ascii="宋体" w:hAnsi="宋体" w:eastAsia="宋体" w:cs="宋体"/>
          <w:b/>
          <w:sz w:val="24"/>
          <w:szCs w:val="24"/>
          <w:highlight w:val="none"/>
        </w:rPr>
      </w:pPr>
    </w:p>
    <w:p>
      <w:pPr>
        <w:pStyle w:val="25"/>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jc w:val="center"/>
        <w:outlineLvl w:val="0"/>
        <w:rPr>
          <w:rFonts w:hint="default" w:ascii="宋体" w:hAnsi="宋体" w:eastAsia="宋体" w:cs="宋体"/>
          <w:sz w:val="28"/>
          <w:szCs w:val="28"/>
          <w:highlight w:val="none"/>
        </w:rPr>
      </w:pPr>
      <w:bookmarkStart w:id="8" w:name="_Toc151924348"/>
      <w:r>
        <w:rPr>
          <w:rFonts w:ascii="宋体" w:hAnsi="宋体" w:eastAsia="宋体" w:cs="宋体"/>
          <w:b/>
          <w:sz w:val="28"/>
          <w:szCs w:val="28"/>
          <w:highlight w:val="none"/>
        </w:rPr>
        <w:t>第二章 竞争性磋商须知</w:t>
      </w:r>
      <w:bookmarkEnd w:id="8"/>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第1节 竞争性磋商须知前附表（表1）</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一、竞争性磋商须知前附表1</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竞争性磋商须知前附表是对竞争性磋商须知的补充和细化，二者如有矛盾，以前附表中的要求和规定为准</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2"/>
        <w:gridCol w:w="963"/>
        <w:gridCol w:w="71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项号</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719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3.2.1</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供应商的资格要求：见磋商文件第一章“采购公告/采购邀请书”</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（1）资格证明文件资料要求：</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8"/>
              <w:tblW w:w="497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4"/>
              <w:gridCol w:w="1198"/>
              <w:gridCol w:w="51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3685"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磋商响应声明</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单位负责人授权书</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营业执照等证明文件</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提供财务状况报告（财务报告、或资信证明）</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依法缴纳税收证明材料</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依法缴纳社会保障资金证明材料</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具备履行合同所必需设备和专业技术能力的声明函(若有)</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参加采购活动前三年内在经营活动中没有重大违法记录的声明</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中小企业声明函（以资格条件落实中小企业扶持政策时适用 ）</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信用记录查询结果</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6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联合体协议（若有）</w:t>
                  </w:r>
                </w:p>
              </w:tc>
              <w:tc>
                <w:tcPr>
                  <w:tcW w:w="3685"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（2）特定资格条件：</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8"/>
              <w:tblW w:w="70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52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资格审查要求概况</w:t>
                  </w:r>
                </w:p>
              </w:tc>
              <w:tc>
                <w:tcPr>
                  <w:tcW w:w="5271"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vAlign w:val="center"/>
                </w:tcPr>
                <w:p>
                  <w:pPr>
                    <w:pStyle w:val="25"/>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color w:val="auto"/>
                      <w:sz w:val="24"/>
                      <w:szCs w:val="24"/>
                      <w:highlight w:val="none"/>
                      <w:lang w:val="en-US" w:eastAsia="zh-CN"/>
                    </w:rPr>
                    <w:t>资格1</w:t>
                  </w:r>
                </w:p>
              </w:tc>
              <w:tc>
                <w:tcPr>
                  <w:tcW w:w="5271" w:type="dxa"/>
                  <w:vAlign w:val="center"/>
                </w:tcPr>
                <w:p>
                  <w:pPr>
                    <w:pStyle w:val="25"/>
                    <w:spacing w:line="360" w:lineRule="auto"/>
                    <w:jc w:val="left"/>
                    <w:rPr>
                      <w:rFonts w:hint="eastAsia" w:ascii="宋体" w:hAnsi="宋体" w:eastAsia="宋体" w:cs="宋体"/>
                      <w:bCs/>
                      <w:sz w:val="24"/>
                      <w:szCs w:val="24"/>
                      <w:highlight w:val="none"/>
                      <w:lang w:val="en-US" w:eastAsia="zh-CN"/>
                    </w:rPr>
                  </w:pPr>
                  <w:r>
                    <w:rPr>
                      <w:rFonts w:hint="eastAsia" w:ascii="宋体" w:hAnsi="宋体" w:eastAsia="宋体" w:cs="宋体"/>
                      <w:bCs/>
                      <w:color w:val="auto"/>
                      <w:sz w:val="24"/>
                      <w:szCs w:val="24"/>
                      <w:highlight w:val="none"/>
                      <w:lang w:val="en-US" w:eastAsia="zh-CN"/>
                    </w:rPr>
                    <w:t>须提供有效期内依法登记注册的具有玻璃器皿、化学试剂（含易制毒化学品，如甲苯、硫酸、盐酸等）经营范围证明复印件；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vAlign w:val="center"/>
                </w:tcPr>
                <w:p>
                  <w:pPr>
                    <w:pStyle w:val="25"/>
                    <w:spacing w:line="360" w:lineRule="auto"/>
                    <w:jc w:val="center"/>
                    <w:rPr>
                      <w:rFonts w:hint="eastAsia" w:ascii="宋体" w:hAnsi="宋体" w:eastAsia="宋体" w:cs="宋体"/>
                      <w:bCs/>
                      <w:sz w:val="24"/>
                      <w:szCs w:val="24"/>
                      <w:highlight w:val="none"/>
                      <w:lang w:val="en-US" w:eastAsia="zh-CN"/>
                    </w:rPr>
                  </w:pPr>
                  <w:r>
                    <w:rPr>
                      <w:rFonts w:hint="eastAsia" w:ascii="宋体" w:hAnsi="宋体" w:eastAsia="宋体" w:cs="宋体"/>
                      <w:bCs/>
                      <w:color w:val="auto"/>
                      <w:sz w:val="24"/>
                      <w:szCs w:val="24"/>
                      <w:highlight w:val="none"/>
                      <w:lang w:val="en-US" w:eastAsia="zh-CN"/>
                    </w:rPr>
                    <w:t>资格2</w:t>
                  </w:r>
                </w:p>
              </w:tc>
              <w:tc>
                <w:tcPr>
                  <w:tcW w:w="5271" w:type="dxa"/>
                  <w:vAlign w:val="center"/>
                </w:tcPr>
                <w:p>
                  <w:pPr>
                    <w:pStyle w:val="25"/>
                    <w:spacing w:line="360" w:lineRule="auto"/>
                    <w:jc w:val="left"/>
                    <w:rPr>
                      <w:rFonts w:hint="eastAsia" w:ascii="宋体" w:hAnsi="宋体" w:cs="宋体"/>
                      <w:bCs/>
                      <w:sz w:val="24"/>
                      <w:szCs w:val="24"/>
                      <w:highlight w:val="none"/>
                      <w:lang w:val="en-US" w:eastAsia="zh-CN"/>
                    </w:rPr>
                  </w:pPr>
                  <w:r>
                    <w:rPr>
                      <w:rFonts w:hint="eastAsia" w:ascii="宋体" w:hAnsi="宋体" w:eastAsia="宋体" w:cs="宋体"/>
                      <w:bCs/>
                      <w:color w:val="auto"/>
                      <w:sz w:val="24"/>
                      <w:szCs w:val="24"/>
                      <w:highlight w:val="none"/>
                      <w:lang w:val="en-US" w:eastAsia="zh-CN"/>
                    </w:rPr>
                    <w:t>须提供具有易制毒化学品经营许可、危险化学品经营许可证；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vAlign w:val="top"/>
                </w:tcPr>
                <w:p>
                  <w:pPr>
                    <w:pStyle w:val="25"/>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rPr>
                    <w:t>关于“提供财务状况报告（财务报告、或资信证明）” 补充要求</w:t>
                  </w:r>
                </w:p>
              </w:tc>
              <w:tc>
                <w:tcPr>
                  <w:tcW w:w="5271" w:type="dxa"/>
                  <w:vAlign w:val="top"/>
                </w:tcPr>
                <w:p>
                  <w:pPr>
                    <w:pStyle w:val="25"/>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sz w:val="24"/>
                      <w:szCs w:val="24"/>
                      <w:highlight w:val="none"/>
                    </w:rPr>
                    <w:t>提供上一年度或2022年度经审计的财务审计报告（至少包含资产负债表、现金流量表、利润表）或提供响应文件递交截止时间前六个月（不含响应文件递交截止时间的当月）内基本开户行出具的资信证明</w:t>
                  </w:r>
                  <w:r>
                    <w:rPr>
                      <w:rFonts w:hint="eastAsia" w:ascii="宋体" w:hAnsi="宋体" w:eastAsia="宋体" w:cs="宋体"/>
                      <w:sz w:val="24"/>
                      <w:szCs w:val="24"/>
                      <w:highlight w:val="none"/>
                      <w:lang w:val="en-US" w:eastAsia="zh-CN"/>
                    </w:rPr>
                    <w:t>。</w:t>
                  </w:r>
                </w:p>
              </w:tc>
            </w:tr>
          </w:tbl>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（3）磋商保证金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无</w:t>
            </w:r>
            <w:r>
              <w:rPr>
                <w:rFonts w:hint="eastAsia" w:ascii="宋体" w:hAnsi="宋体" w:eastAsia="宋体" w:cs="宋体"/>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是否接受联合体形式的响应磋商：</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是否组织现场考察或召开磋商前答疑会：</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采购包1：组织</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潜在投标人在</w:t>
            </w:r>
            <w:r>
              <w:rPr>
                <w:rFonts w:hint="default" w:ascii="宋体" w:hAnsi="宋体" w:eastAsia="宋体" w:cs="宋体"/>
                <w:b/>
                <w:bCs/>
                <w:sz w:val="24"/>
                <w:szCs w:val="24"/>
                <w:highlight w:val="none"/>
                <w:lang w:val="en-US" w:eastAsia="zh-CN"/>
              </w:rPr>
              <w:t>2024年0</w:t>
            </w:r>
            <w:r>
              <w:rPr>
                <w:rFonts w:hint="eastAsia" w:ascii="宋体" w:hAnsi="宋体" w:eastAsia="宋体" w:cs="宋体"/>
                <w:b/>
                <w:bCs/>
                <w:sz w:val="24"/>
                <w:szCs w:val="24"/>
                <w:highlight w:val="none"/>
                <w:lang w:val="en-US" w:eastAsia="zh-CN"/>
              </w:rPr>
              <w:t>5</w:t>
            </w:r>
            <w:r>
              <w:rPr>
                <w:rFonts w:hint="default" w:ascii="宋体" w:hAnsi="宋体" w:eastAsia="宋体" w:cs="宋体"/>
                <w:b/>
                <w:bCs/>
                <w:sz w:val="24"/>
                <w:szCs w:val="24"/>
                <w:highlight w:val="none"/>
                <w:lang w:val="en-US" w:eastAsia="zh-CN"/>
              </w:rPr>
              <w:t>月</w:t>
            </w:r>
            <w:r>
              <w:rPr>
                <w:rFonts w:hint="eastAsia" w:ascii="宋体" w:hAnsi="宋体" w:eastAsia="宋体" w:cs="宋体"/>
                <w:b/>
                <w:bCs/>
                <w:sz w:val="24"/>
                <w:szCs w:val="24"/>
                <w:highlight w:val="none"/>
                <w:lang w:val="en-US" w:eastAsia="zh-CN"/>
              </w:rPr>
              <w:t>06</w:t>
            </w:r>
            <w:r>
              <w:rPr>
                <w:rFonts w:hint="default" w:ascii="宋体" w:hAnsi="宋体" w:eastAsia="宋体" w:cs="宋体"/>
                <w:b/>
                <w:bCs/>
                <w:sz w:val="24"/>
                <w:szCs w:val="24"/>
                <w:highlight w:val="none"/>
                <w:lang w:val="en-US" w:eastAsia="zh-CN"/>
              </w:rPr>
              <w:t>日 至 2024年0</w:t>
            </w:r>
            <w:r>
              <w:rPr>
                <w:rFonts w:hint="eastAsia" w:ascii="宋体" w:hAnsi="宋体" w:eastAsia="宋体" w:cs="宋体"/>
                <w:b/>
                <w:bCs/>
                <w:sz w:val="24"/>
                <w:szCs w:val="24"/>
                <w:highlight w:val="none"/>
                <w:lang w:val="en-US" w:eastAsia="zh-CN"/>
              </w:rPr>
              <w:t>5</w:t>
            </w:r>
            <w:r>
              <w:rPr>
                <w:rFonts w:hint="default" w:ascii="宋体" w:hAnsi="宋体" w:eastAsia="宋体" w:cs="宋体"/>
                <w:b/>
                <w:bCs/>
                <w:sz w:val="24"/>
                <w:szCs w:val="24"/>
                <w:highlight w:val="none"/>
                <w:lang w:val="en-US" w:eastAsia="zh-CN"/>
              </w:rPr>
              <w:t>月</w:t>
            </w:r>
            <w:r>
              <w:rPr>
                <w:rFonts w:hint="eastAsia" w:ascii="宋体" w:hAnsi="宋体" w:eastAsia="宋体" w:cs="宋体"/>
                <w:b/>
                <w:bCs/>
                <w:sz w:val="24"/>
                <w:szCs w:val="24"/>
                <w:highlight w:val="none"/>
                <w:lang w:val="en-US" w:eastAsia="zh-CN"/>
              </w:rPr>
              <w:t>07</w:t>
            </w:r>
            <w:r>
              <w:rPr>
                <w:rFonts w:hint="default" w:ascii="宋体" w:hAnsi="宋体" w:eastAsia="宋体" w:cs="宋体"/>
                <w:b/>
                <w:bCs/>
                <w:sz w:val="24"/>
                <w:szCs w:val="24"/>
                <w:highlight w:val="none"/>
                <w:lang w:val="en-US" w:eastAsia="zh-CN"/>
              </w:rPr>
              <w:t>日，每天上午9:00至12:00，下午1</w:t>
            </w:r>
            <w:r>
              <w:rPr>
                <w:rFonts w:hint="eastAsia" w:ascii="宋体" w:hAnsi="宋体" w:eastAsia="宋体" w:cs="宋体"/>
                <w:b/>
                <w:bCs/>
                <w:sz w:val="24"/>
                <w:szCs w:val="24"/>
                <w:highlight w:val="none"/>
                <w:lang w:val="en-US" w:eastAsia="zh-CN"/>
              </w:rPr>
              <w:t>5</w:t>
            </w:r>
            <w:r>
              <w:rPr>
                <w:rFonts w:hint="default" w:ascii="宋体" w:hAnsi="宋体" w:eastAsia="宋体" w:cs="宋体"/>
                <w:b/>
                <w:bCs/>
                <w:sz w:val="24"/>
                <w:szCs w:val="24"/>
                <w:highlight w:val="none"/>
                <w:lang w:val="en-US" w:eastAsia="zh-CN"/>
              </w:rPr>
              <w:t>:00至1</w:t>
            </w:r>
            <w:r>
              <w:rPr>
                <w:rFonts w:hint="eastAsia" w:ascii="宋体" w:hAnsi="宋体" w:eastAsia="宋体" w:cs="宋体"/>
                <w:b/>
                <w:bCs/>
                <w:sz w:val="24"/>
                <w:szCs w:val="24"/>
                <w:highlight w:val="none"/>
                <w:lang w:val="en-US" w:eastAsia="zh-CN"/>
              </w:rPr>
              <w:t>7</w:t>
            </w:r>
            <w:r>
              <w:rPr>
                <w:rFonts w:hint="default"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w:t>
            </w:r>
            <w:r>
              <w:rPr>
                <w:rFonts w:hint="default"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lang w:val="en-US" w:eastAsia="zh-CN"/>
              </w:rPr>
              <w:t>可至福建省辐射环境监督站（地址：福州市晋安区福飞北路400号）</w:t>
            </w:r>
            <w:r>
              <w:rPr>
                <w:rFonts w:hint="default" w:ascii="宋体" w:hAnsi="宋体" w:eastAsia="宋体" w:cs="宋体"/>
                <w:b/>
                <w:bCs/>
                <w:sz w:val="24"/>
                <w:szCs w:val="24"/>
                <w:highlight w:val="none"/>
                <w:lang w:val="en-US" w:eastAsia="zh-CN"/>
              </w:rPr>
              <w:t>了解耗材详情</w:t>
            </w:r>
            <w:r>
              <w:rPr>
                <w:rFonts w:hint="eastAsia" w:ascii="宋体" w:hAnsi="宋体" w:eastAsia="宋体" w:cs="宋体"/>
                <w:b/>
                <w:bCs/>
                <w:sz w:val="24"/>
                <w:szCs w:val="24"/>
                <w:highlight w:val="none"/>
                <w:lang w:val="en-US" w:eastAsia="zh-CN"/>
              </w:rPr>
              <w:t>。潜在投标人前往实地考察过程中的车辆及任何费用，均由投标人自行承担。须自行与采购人联系,联系人：邹女士 ，联系电话：15005917767。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响应文件有效期：首次响应文件提交截止时间起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10.3.1</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要求：</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不收取</w:t>
            </w:r>
            <w:r>
              <w:rPr>
                <w:rFonts w:hint="eastAsia" w:ascii="宋体" w:hAnsi="宋体" w:eastAsia="宋体" w:cs="宋体"/>
                <w:color w:val="auto"/>
                <w:sz w:val="24"/>
                <w:szCs w:val="24"/>
                <w:highlight w:val="none"/>
              </w:rPr>
              <w:t>磋商保证金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8" w:hRule="atLeast"/>
        </w:trPr>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响应文件的份数</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（1）纸质响应文件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响应文件正本</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 xml:space="preserve"> 份、副本</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份。</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可读介质（U盘）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。(用U盘拷贝的电子文档一份(</w:t>
            </w:r>
            <w:r>
              <w:rPr>
                <w:rFonts w:hint="eastAsia" w:ascii="宋体" w:hAnsi="宋体" w:eastAsia="宋体" w:cs="宋体"/>
                <w:b/>
                <w:bCs/>
                <w:sz w:val="24"/>
                <w:szCs w:val="24"/>
                <w:highlight w:val="none"/>
                <w:u w:val="single"/>
                <w:lang w:val="en-US" w:eastAsia="zh-CN"/>
              </w:rPr>
              <w:t>包含详细报价可编辑EXCEL电子档清单</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磋商过程中可能发生实质性变动的内容：无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14.9</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评审的标准和方法：具体内容详见竞争性磋商须知前附表专项附件“评审的标准和方法”。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96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根据采购项目的特点和需要，需要加以详细说明的其他磋商程序规定、要求等内容：无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22.2</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信息公告指定媒体：</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eastAsia="宋体" w:cs="宋体"/>
                <w:bCs/>
                <w:kern w:val="2"/>
                <w:sz w:val="24"/>
                <w:szCs w:val="24"/>
                <w:highlight w:val="none"/>
              </w:rPr>
              <w:t>福建省生态环境厅，网址https://sthjt.fujian.gov.cn/。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本项目监督管理部门：福建省辐射环境监督站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25.1</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根据采购项目特点或政策需要补充的其他新增内容：</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(1)本项目代理服务费：</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代理服务费用收取对象：中标/成交人</w:t>
            </w:r>
          </w:p>
          <w:p>
            <w:pPr>
              <w:pStyle w:val="25"/>
              <w:spacing w:line="360" w:lineRule="auto"/>
              <w:rPr>
                <w:rFonts w:hint="eastAsia" w:ascii="宋体" w:hAnsi="宋体" w:eastAsia="宋体" w:cs="宋体"/>
                <w:bCs/>
                <w:color w:val="auto"/>
                <w:sz w:val="24"/>
                <w:highlight w:val="none"/>
              </w:rPr>
            </w:pPr>
            <w:r>
              <w:rPr>
                <w:rFonts w:hint="eastAsia" w:ascii="宋体" w:hAnsi="宋体" w:eastAsia="宋体" w:cs="宋体"/>
                <w:sz w:val="24"/>
                <w:szCs w:val="24"/>
                <w:highlight w:val="none"/>
              </w:rPr>
              <w:t>代理服务费收费标准：</w:t>
            </w:r>
            <w:r>
              <w:rPr>
                <w:rFonts w:hint="eastAsia" w:ascii="宋体" w:hAnsi="宋体" w:eastAsia="宋体" w:cs="宋体"/>
                <w:bCs/>
                <w:color w:val="auto"/>
                <w:sz w:val="24"/>
                <w:highlight w:val="none"/>
              </w:rPr>
              <w:t>①</w:t>
            </w:r>
            <w:r>
              <w:rPr>
                <w:rFonts w:hint="eastAsia" w:ascii="宋体" w:hAnsi="宋体" w:eastAsia="宋体" w:cs="宋体"/>
                <w:i w:val="0"/>
                <w:iCs w:val="0"/>
                <w:caps w:val="0"/>
                <w:color w:val="333333"/>
                <w:spacing w:val="0"/>
                <w:sz w:val="24"/>
                <w:szCs w:val="24"/>
                <w:highlight w:val="none"/>
                <w:shd w:val="clear" w:color="auto" w:fill="FFFFFF"/>
              </w:rPr>
              <w:t>按</w:t>
            </w:r>
            <w:r>
              <w:rPr>
                <w:rFonts w:hint="eastAsia" w:ascii="宋体" w:hAnsi="宋体" w:cs="宋体"/>
                <w:i w:val="0"/>
                <w:iCs w:val="0"/>
                <w:caps w:val="0"/>
                <w:color w:val="333333"/>
                <w:spacing w:val="0"/>
                <w:sz w:val="24"/>
                <w:szCs w:val="24"/>
                <w:highlight w:val="none"/>
                <w:shd w:val="clear" w:color="auto" w:fill="FFFFFF"/>
                <w:lang w:val="en-US" w:eastAsia="zh-CN"/>
              </w:rPr>
              <w:t>包干价一次性向成交人收取</w:t>
            </w:r>
            <w:r>
              <w:rPr>
                <w:rFonts w:hint="eastAsia" w:ascii="宋体" w:hAnsi="宋体" w:eastAsia="宋体" w:cs="宋体"/>
                <w:i w:val="0"/>
                <w:iCs w:val="0"/>
                <w:caps w:val="0"/>
                <w:color w:val="333333"/>
                <w:spacing w:val="0"/>
                <w:sz w:val="24"/>
                <w:szCs w:val="24"/>
                <w:highlight w:val="none"/>
                <w:shd w:val="clear" w:color="auto" w:fill="FFFFFF"/>
              </w:rPr>
              <w:t>3</w:t>
            </w:r>
            <w:r>
              <w:rPr>
                <w:rFonts w:hint="eastAsia" w:ascii="宋体" w:hAnsi="宋体" w:eastAsia="宋体" w:cs="宋体"/>
                <w:i w:val="0"/>
                <w:iCs w:val="0"/>
                <w:caps w:val="0"/>
                <w:color w:val="333333"/>
                <w:spacing w:val="0"/>
                <w:sz w:val="24"/>
                <w:szCs w:val="24"/>
                <w:highlight w:val="none"/>
                <w:shd w:val="clear" w:color="auto" w:fill="FFFFFF"/>
                <w:lang w:val="en-US" w:eastAsia="zh-CN"/>
              </w:rPr>
              <w:t>6</w:t>
            </w:r>
            <w:r>
              <w:rPr>
                <w:rFonts w:hint="eastAsia" w:ascii="宋体" w:hAnsi="宋体" w:eastAsia="宋体" w:cs="宋体"/>
                <w:i w:val="0"/>
                <w:iCs w:val="0"/>
                <w:caps w:val="0"/>
                <w:color w:val="333333"/>
                <w:spacing w:val="0"/>
                <w:sz w:val="24"/>
                <w:szCs w:val="24"/>
                <w:highlight w:val="none"/>
                <w:shd w:val="clear" w:color="auto" w:fill="FFFFFF"/>
              </w:rPr>
              <w:t>00元</w:t>
            </w:r>
            <w:r>
              <w:rPr>
                <w:rFonts w:hint="eastAsia" w:ascii="宋体" w:hAnsi="宋体" w:cs="宋体"/>
                <w:i w:val="0"/>
                <w:iCs w:val="0"/>
                <w:caps w:val="0"/>
                <w:color w:val="333333"/>
                <w:spacing w:val="0"/>
                <w:sz w:val="24"/>
                <w:szCs w:val="24"/>
                <w:highlight w:val="none"/>
                <w:shd w:val="clear" w:color="auto" w:fill="FFFFFF"/>
                <w:lang w:val="en-US" w:eastAsia="zh-CN"/>
              </w:rPr>
              <w:t>整</w:t>
            </w:r>
            <w:r>
              <w:rPr>
                <w:rFonts w:hint="eastAsia" w:ascii="宋体" w:hAnsi="宋体" w:eastAsia="宋体" w:cs="宋体"/>
                <w:kern w:val="2"/>
                <w:sz w:val="24"/>
                <w:szCs w:val="24"/>
                <w:highlight w:val="none"/>
                <w:lang w:eastAsia="zh-CN"/>
              </w:rPr>
              <w:t>；</w:t>
            </w:r>
            <w:r>
              <w:rPr>
                <w:rFonts w:ascii="宋体" w:hAnsi="宋体" w:eastAsia="宋体" w:cs="宋体"/>
                <w:sz w:val="24"/>
                <w:szCs w:val="24"/>
                <w:highlight w:val="none"/>
                <w:shd w:val="clear"/>
              </w:rPr>
              <w:t>②</w:t>
            </w:r>
            <w:r>
              <w:rPr>
                <w:rFonts w:hint="eastAsia" w:ascii="宋体" w:hAnsi="宋体" w:eastAsia="宋体" w:cs="宋体"/>
                <w:bCs/>
                <w:color w:val="auto"/>
                <w:sz w:val="24"/>
                <w:highlight w:val="none"/>
              </w:rPr>
              <w:t>招标代理服务费以银行转账或现金等付款方式。招标代理服务费专户：开户名：</w:t>
            </w:r>
            <w:r>
              <w:rPr>
                <w:rFonts w:hint="eastAsia" w:ascii="宋体" w:hAnsi="宋体" w:eastAsia="宋体" w:cs="宋体"/>
                <w:bCs/>
                <w:color w:val="auto"/>
                <w:sz w:val="24"/>
                <w:highlight w:val="none"/>
                <w:lang w:eastAsia="zh-CN"/>
              </w:rPr>
              <w:t>福建顺安招标代理有限公司；</w:t>
            </w:r>
            <w:r>
              <w:rPr>
                <w:rFonts w:hint="eastAsia" w:ascii="宋体" w:hAnsi="宋体" w:eastAsia="宋体" w:cs="宋体"/>
                <w:bCs/>
                <w:color w:val="auto"/>
                <w:sz w:val="24"/>
                <w:highlight w:val="none"/>
              </w:rPr>
              <w:t>账号：</w:t>
            </w:r>
            <w:r>
              <w:rPr>
                <w:rFonts w:hint="eastAsia" w:ascii="宋体" w:hAnsi="宋体" w:eastAsia="宋体" w:cs="宋体"/>
                <w:i w:val="0"/>
                <w:iCs w:val="0"/>
                <w:caps w:val="0"/>
                <w:color w:val="auto"/>
                <w:spacing w:val="0"/>
                <w:sz w:val="24"/>
                <w:szCs w:val="24"/>
                <w:highlight w:val="none"/>
                <w:shd w:val="clear" w:color="auto" w:fill="FFFFFF"/>
              </w:rPr>
              <w:t>1402024609006902526</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bCs/>
                <w:color w:val="auto"/>
                <w:sz w:val="24"/>
                <w:highlight w:val="none"/>
              </w:rPr>
              <w:t>开户行：</w:t>
            </w:r>
            <w:r>
              <w:rPr>
                <w:rFonts w:hint="eastAsia" w:ascii="宋体" w:hAnsi="宋体" w:eastAsia="宋体" w:cs="宋体"/>
                <w:i w:val="0"/>
                <w:iCs w:val="0"/>
                <w:caps w:val="0"/>
                <w:color w:val="auto"/>
                <w:spacing w:val="0"/>
                <w:sz w:val="24"/>
                <w:szCs w:val="24"/>
                <w:highlight w:val="none"/>
                <w:shd w:val="clear" w:color="auto" w:fill="FFFFFF"/>
              </w:rPr>
              <w:t>中国工商银行股份有限公司福州上江城支行</w:t>
            </w:r>
            <w:r>
              <w:rPr>
                <w:rFonts w:hint="eastAsia" w:ascii="宋体" w:hAnsi="宋体" w:eastAsia="宋体" w:cs="宋体"/>
                <w:bCs/>
                <w:color w:val="auto"/>
                <w:sz w:val="24"/>
                <w:highlight w:val="none"/>
              </w:rPr>
              <w:t>。</w:t>
            </w:r>
          </w:p>
          <w:p>
            <w:pPr>
              <w:pStyle w:val="25"/>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中标人在领取中标通知书前应先以转账或电汇付款方式一次性向招标代理机构缴纳招标代理服务费。</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(2)其他：</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eastAsiaTheme="minorEastAsia"/>
                <w:sz w:val="24"/>
                <w:szCs w:val="24"/>
                <w:highlight w:val="none"/>
                <w:lang w:val="en-US" w:eastAsia="zh-CN"/>
              </w:rPr>
            </w:pPr>
            <w:r>
              <w:rPr>
                <w:rFonts w:hint="eastAsia" w:ascii="宋体" w:hAnsi="宋体" w:eastAsia="宋体" w:cs="宋体"/>
                <w:sz w:val="24"/>
                <w:szCs w:val="24"/>
                <w:highlight w:val="none"/>
              </w:rPr>
              <w:t>①无效响应及废标条款：具体内容详见磋商文件各章节，请各供应商认真查看对照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②供应商需在法定质疑期内一次性提出针对同一采购程序环节质疑，否则重复提交的质疑函将不予接收。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2" w:hRule="atLeast"/>
        </w:trPr>
        <w:tc>
          <w:tcPr>
            <w:tcW w:w="792"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963" w:type="dxa"/>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w:t>
            </w:r>
          </w:p>
        </w:tc>
        <w:tc>
          <w:tcPr>
            <w:tcW w:w="7193" w:type="dxa"/>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合同签订时限：自</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通知书发出之日起30个日历日内。</w:t>
            </w:r>
          </w:p>
        </w:tc>
      </w:tr>
    </w:tbl>
    <w:p>
      <w:pPr>
        <w:pStyle w:val="2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专项附件： 评审的标准和方法</w:t>
      </w:r>
    </w:p>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一、磋商小组</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1.1采购人根据项目的特点依法组建磋商小组。</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1.2磋商小组</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由采购人代表和评审专家两部分共3人组成，其中由福建省政府采购评审专家库产生的评审专家2人，由采购人派出的采购人代表1人。</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1.3磋商小组负责具体磋商和评审事务，并</w:t>
      </w:r>
      <w:r>
        <w:rPr>
          <w:rFonts w:hint="eastAsia" w:ascii="宋体" w:hAnsi="宋体" w:eastAsia="宋体" w:cs="宋体"/>
          <w:sz w:val="24"/>
          <w:szCs w:val="24"/>
          <w:highlight w:val="none"/>
          <w:lang w:val="en-US" w:eastAsia="zh-CN"/>
        </w:rPr>
        <w:t>参照</w:t>
      </w:r>
      <w:r>
        <w:rPr>
          <w:rFonts w:hint="eastAsia" w:ascii="宋体" w:hAnsi="宋体" w:eastAsia="宋体" w:cs="宋体"/>
          <w:sz w:val="24"/>
          <w:szCs w:val="24"/>
          <w:highlight w:val="none"/>
        </w:rPr>
        <w:t>下列原则依法独立履行有关职责：</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1.3.1评审应保护国家利益、社会公共利益和各方当事人合法权益，提高采购效益，保证项目质量。</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1.3.2评审应遵循公平、公正、科学、严谨和择优原则。</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1.3.3评审的依据是磋商文件和响应文件，磋商文件中没有规定的评审标准不得作为评审依据。</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1.3.4磋商小组应</w:t>
      </w:r>
      <w:r>
        <w:rPr>
          <w:rFonts w:hint="eastAsia" w:ascii="宋体" w:hAnsi="宋体" w:eastAsia="宋体" w:cs="宋体"/>
          <w:sz w:val="24"/>
          <w:szCs w:val="24"/>
          <w:highlight w:val="none"/>
          <w:lang w:eastAsia="zh-CN"/>
        </w:rPr>
        <w:t>参照</w:t>
      </w:r>
      <w:r>
        <w:rPr>
          <w:rFonts w:hint="eastAsia" w:ascii="宋体" w:hAnsi="宋体" w:eastAsia="宋体" w:cs="宋体"/>
          <w:sz w:val="24"/>
          <w:szCs w:val="24"/>
          <w:highlight w:val="none"/>
        </w:rPr>
        <w:t>磋商文件规定推荐成交候选供应商或根据采购人的授权确定成交人。</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1.3.5评审应遵守下列评审纪律：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①评审情况不得私自外泄，有关信息由采购人或其委托的代理机构统一对外发布。</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②对采购人或供应商提供的要求保密的资料，不得摘记翻印和外传。</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③不得收受供应商或有关人员的任何礼物，不得串联鼓动其他人袒护某供应商。若与供应商存在利害关系，则应主动声明并回避。</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④全体磋商小组成员应</w:t>
      </w:r>
      <w:r>
        <w:rPr>
          <w:rFonts w:hint="eastAsia" w:ascii="宋体" w:hAnsi="宋体" w:eastAsia="宋体" w:cs="宋体"/>
          <w:sz w:val="24"/>
          <w:szCs w:val="24"/>
          <w:highlight w:val="none"/>
          <w:lang w:eastAsia="zh-CN"/>
        </w:rPr>
        <w:t>参照</w:t>
      </w:r>
      <w:r>
        <w:rPr>
          <w:rFonts w:hint="eastAsia" w:ascii="宋体" w:hAnsi="宋体" w:eastAsia="宋体" w:cs="宋体"/>
          <w:sz w:val="24"/>
          <w:szCs w:val="24"/>
          <w:highlight w:val="none"/>
        </w:rPr>
        <w:t>磋商文件规定进行评审，一切认定事项应查有实据且不得弄虚作假。</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⑤评审中应充分发扬民主，推荐成交人候选人或根据采购人授权确定成交人后要服从评审报告。</w:t>
      </w:r>
    </w:p>
    <w:p>
      <w:pPr>
        <w:pStyle w:val="25"/>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※对违反评审纪律的评委，将取消其评委资格，对评审工作造成严重损失者将予以通报批评乃至追究法律责任。</w:t>
      </w:r>
    </w:p>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二、磋商程序</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2.1磋商程序</w:t>
      </w:r>
      <w:r>
        <w:rPr>
          <w:rFonts w:hint="eastAsia" w:ascii="宋体" w:hAnsi="宋体" w:eastAsia="宋体" w:cs="宋体"/>
          <w:sz w:val="24"/>
          <w:szCs w:val="24"/>
          <w:highlight w:val="none"/>
          <w:lang w:eastAsia="zh-CN"/>
        </w:rPr>
        <w:t>参照</w:t>
      </w:r>
      <w:r>
        <w:rPr>
          <w:rFonts w:hint="eastAsia" w:ascii="宋体" w:hAnsi="宋体" w:eastAsia="宋体" w:cs="宋体"/>
          <w:sz w:val="24"/>
          <w:szCs w:val="24"/>
          <w:highlight w:val="none"/>
        </w:rPr>
        <w:t>磋商文件第二章第2节“竞争性磋商须知”第14 条“磋商程序以及评审标准和方法”的相关条款规定执行。</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2.2磋商文件不能详细列明采购标的的技术、服务要求，需经磋商由供应商提供最终设计方案或解决方案的，磋商结束后，磋商小组应当</w:t>
      </w:r>
      <w:r>
        <w:rPr>
          <w:rFonts w:hint="eastAsia" w:ascii="宋体" w:hAnsi="宋体" w:eastAsia="宋体" w:cs="宋体"/>
          <w:sz w:val="24"/>
          <w:szCs w:val="24"/>
          <w:highlight w:val="none"/>
          <w:lang w:eastAsia="zh-CN"/>
        </w:rPr>
        <w:t>参照</w:t>
      </w:r>
      <w:r>
        <w:rPr>
          <w:rFonts w:hint="eastAsia" w:ascii="宋体" w:hAnsi="宋体" w:eastAsia="宋体" w:cs="宋体"/>
          <w:sz w:val="24"/>
          <w:szCs w:val="24"/>
          <w:highlight w:val="none"/>
        </w:rPr>
        <w:t>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2.3只有资格审查和实质性响应审查均合格且按规定提交最后报价的合格供应商才能参加综合评分。</w:t>
      </w:r>
    </w:p>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p>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三、综合评分的标准和方法</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3.1磋商小组将采用综合评分法对提交最后报价的合格供应商的响应文件和最后报价进行综合评分。如果磋商项目有多个采购包，则按相应采购包分别进行，具体综合评分的标准和方法如下：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3.3.2具体评审标准和方法：</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（1）响应文件满足磋商文件全部实质性要求，且</w:t>
      </w:r>
      <w:r>
        <w:rPr>
          <w:rFonts w:hint="eastAsia" w:ascii="宋体" w:hAnsi="宋体" w:eastAsia="宋体" w:cs="宋体"/>
          <w:sz w:val="24"/>
          <w:szCs w:val="24"/>
          <w:highlight w:val="none"/>
          <w:lang w:eastAsia="zh-CN"/>
        </w:rPr>
        <w:t>参照</w:t>
      </w:r>
      <w:r>
        <w:rPr>
          <w:rFonts w:hint="eastAsia" w:ascii="宋体" w:hAnsi="宋体" w:eastAsia="宋体" w:cs="宋体"/>
          <w:sz w:val="24"/>
          <w:szCs w:val="24"/>
          <w:highlight w:val="none"/>
        </w:rPr>
        <w:t>评审因素的量化指标综合评审总得分从高到低顺序推荐3名以上成交候选人供应商，其中评审总得分最高的供应商为第一成交候选供应商。</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（3）各项评审因素的设置如下：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报价部分评分PF 满分为</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.00分</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价格分采用低价优先法计算，即满足磋商文件要求且报价最低的供应商的价格为磋商基准价，其价格分为满分。其他供应商的价格分统一</w:t>
      </w:r>
      <w:r>
        <w:rPr>
          <w:rFonts w:hint="eastAsia" w:ascii="宋体" w:hAnsi="宋体" w:eastAsia="宋体" w:cs="宋体"/>
          <w:sz w:val="24"/>
          <w:szCs w:val="24"/>
          <w:highlight w:val="none"/>
          <w:lang w:eastAsia="zh-CN"/>
        </w:rPr>
        <w:t>参照</w:t>
      </w:r>
      <w:r>
        <w:rPr>
          <w:rFonts w:hint="eastAsia" w:ascii="宋体" w:hAnsi="宋体" w:eastAsia="宋体" w:cs="宋体"/>
          <w:sz w:val="24"/>
          <w:szCs w:val="24"/>
          <w:highlight w:val="none"/>
        </w:rPr>
        <w:t>下列公式计算：磋商报价得分=（磋商基准价／磋商报价）×价格权值×</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。因落实政府采购优惠政策需进行价格扣除的，以扣除后的价格计算磋商基准价和磋商报价。</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价格扣除的规则如下：</w:t>
      </w:r>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02"/>
        <w:gridCol w:w="1437"/>
        <w:gridCol w:w="965"/>
        <w:gridCol w:w="52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trPr>
        <w:tc>
          <w:tcPr>
            <w:tcW w:w="727"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803"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适用对象</w:t>
            </w:r>
          </w:p>
        </w:tc>
        <w:tc>
          <w:tcPr>
            <w:tcW w:w="539"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比例</w:t>
            </w:r>
          </w:p>
        </w:tc>
        <w:tc>
          <w:tcPr>
            <w:tcW w:w="2929" w:type="pct"/>
            <w:vAlign w:val="center"/>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7"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ascii="宋体" w:hAnsi="宋体" w:eastAsia="宋体" w:cs="宋体"/>
                <w:color w:val="auto"/>
                <w:sz w:val="24"/>
                <w:szCs w:val="24"/>
                <w:highlight w:val="none"/>
              </w:rPr>
              <w:t>小型、微型企业，监狱企业，残疾人福利性单位</w:t>
            </w:r>
          </w:p>
        </w:tc>
        <w:tc>
          <w:tcPr>
            <w:tcW w:w="803"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ascii="宋体" w:hAnsi="宋体" w:eastAsia="宋体" w:cs="宋体"/>
                <w:color w:val="auto"/>
                <w:sz w:val="24"/>
                <w:szCs w:val="24"/>
                <w:highlight w:val="none"/>
              </w:rPr>
              <w:t>供应商或者联合体均为小型、微型企业</w:t>
            </w:r>
          </w:p>
        </w:tc>
        <w:tc>
          <w:tcPr>
            <w:tcW w:w="539"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ascii="宋体" w:hAnsi="宋体" w:eastAsia="宋体" w:cs="宋体"/>
                <w:color w:val="auto"/>
                <w:sz w:val="24"/>
                <w:szCs w:val="24"/>
                <w:highlight w:val="none"/>
              </w:rPr>
              <w:t>15.00%</w:t>
            </w:r>
          </w:p>
        </w:tc>
        <w:tc>
          <w:tcPr>
            <w:tcW w:w="2929"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ascii="宋体" w:hAnsi="宋体" w:eastAsia="宋体" w:cs="宋体"/>
                <w:color w:val="auto"/>
                <w:sz w:val="24"/>
                <w:szCs w:val="24"/>
                <w:highlight w:val="none"/>
              </w:rPr>
              <w:t>本项目为非专门面向中小企业采购的采购项目，本采购标的对应的中小企业划分标准所属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品目号1-1属于“工业”，品目号1-2属于“工业”</w:t>
            </w:r>
            <w:r>
              <w:rPr>
                <w:rFonts w:ascii="宋体" w:hAnsi="宋体" w:eastAsia="宋体" w:cs="宋体"/>
                <w:color w:val="auto"/>
                <w:sz w:val="24"/>
                <w:szCs w:val="24"/>
                <w:highlight w:val="none"/>
              </w:rPr>
              <w:t>。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15%的价格扣除，用扣除后的价格参加评审。1、在服务采购项目中，服务的承接商应当为小、微企业，不对其中涉及的货物的制造商作出要求。2、参加采购活动的中小企业应当提供《中小企业声明函》(见本文件最后章节格式)；若供应商提供的《中小企业声明函》中填写的行业与采购文件中明确的采购标的对应的中小企业划分标准所属行业不一致，则不予认定为中小企业。（二）监狱企业优惠政策：根据财库【2014】68号文《关于政府采购支持监狱企业发展有关问题的通知》的规定，在采购活动中，监狱企业视同小型、微型企业，享受预留份额、评审中价格扣除等政府采购促进中小企业发展的政府采购政策。 监狱企业参加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采购活动中，残疾人福利性单位视同小型、微型企业，享受15%价格扣除。残疾人福利性单位参加采购活动时，应当提供财库〔2017〕141号文规定格式的《残疾人福利性单位声明函》并加单位公章。残疾人福利性单位属于小型、微型企业的，不重复享受政策。说明：采购代理机构将在中标、成交结果公告同时公告成交人提交的《中小企业声明函》，接受社会监督。</w:t>
            </w:r>
            <w:r>
              <w:rPr>
                <w:rFonts w:ascii="宋体" w:hAnsi="宋体" w:eastAsia="宋体" w:cs="宋体"/>
                <w:b/>
                <w:color w:val="auto"/>
                <w:sz w:val="24"/>
                <w:highlight w:val="none"/>
              </w:rPr>
              <w:t>注：招标文件中若有与本项规定不一致的以本项规定为准。采购标的对应的中小企业划分标准所属行业为</w:t>
            </w:r>
            <w:r>
              <w:rPr>
                <w:rFonts w:hint="eastAsia" w:ascii="宋体" w:hAnsi="宋体" w:eastAsia="宋体" w:cs="宋体"/>
                <w:b/>
                <w:color w:val="auto"/>
                <w:sz w:val="24"/>
                <w:highlight w:val="none"/>
                <w:lang w:eastAsia="zh-CN"/>
              </w:rPr>
              <w:t>：品目号1-1属于“工业”，品目号1-2属于“工业”</w:t>
            </w:r>
            <w:r>
              <w:rPr>
                <w:rFonts w:ascii="宋体" w:hAnsi="宋体" w:eastAsia="宋体" w:cs="宋体"/>
                <w:b/>
                <w:color w:val="auto"/>
                <w:sz w:val="24"/>
                <w:highlight w:val="none"/>
              </w:rPr>
              <w:t>。</w:t>
            </w:r>
          </w:p>
        </w:tc>
      </w:tr>
    </w:tbl>
    <w:p>
      <w:pPr>
        <w:rPr>
          <w:rFonts w:ascii="宋体" w:hAnsi="宋体" w:eastAsia="宋体" w:cs="宋体"/>
          <w:sz w:val="24"/>
          <w:szCs w:val="24"/>
          <w:highlight w:val="none"/>
        </w:rPr>
      </w:pPr>
    </w:p>
    <w:p>
      <w:pPr>
        <w:rPr>
          <w:rFonts w:hint="default" w:ascii="宋体" w:hAnsi="宋体" w:eastAsia="宋体" w:cs="宋体"/>
          <w:sz w:val="24"/>
          <w:szCs w:val="24"/>
          <w:highlight w:val="none"/>
        </w:rPr>
      </w:pPr>
      <w:r>
        <w:rPr>
          <w:rFonts w:ascii="宋体" w:hAnsi="宋体" w:eastAsia="宋体" w:cs="宋体"/>
          <w:sz w:val="24"/>
          <w:szCs w:val="24"/>
          <w:highlight w:val="none"/>
        </w:rPr>
        <w:t>技术部分评分PT 满分为</w:t>
      </w:r>
      <w:r>
        <w:rPr>
          <w:rFonts w:hint="eastAsia" w:ascii="宋体" w:hAnsi="宋体" w:eastAsia="宋体" w:cs="宋体"/>
          <w:sz w:val="24"/>
          <w:szCs w:val="24"/>
          <w:highlight w:val="none"/>
          <w:lang w:val="en-US" w:eastAsia="zh-CN"/>
        </w:rPr>
        <w:t>60</w:t>
      </w:r>
      <w:r>
        <w:rPr>
          <w:rFonts w:ascii="宋体" w:hAnsi="宋体" w:eastAsia="宋体" w:cs="宋体"/>
          <w:sz w:val="24"/>
          <w:szCs w:val="24"/>
          <w:highlight w:val="none"/>
        </w:rPr>
        <w:t>.00分</w:t>
      </w:r>
    </w:p>
    <w:tbl>
      <w:tblPr>
        <w:tblStyle w:val="18"/>
        <w:tblW w:w="509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5"/>
        <w:gridCol w:w="639"/>
        <w:gridCol w:w="7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7" w:hRule="atLeast"/>
          <w:tblHeader/>
        </w:trPr>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评标项目</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评标分值</w:t>
            </w:r>
          </w:p>
        </w:tc>
        <w:tc>
          <w:tcPr>
            <w:tcW w:w="404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1、技术要求响应情况</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30</w:t>
            </w:r>
          </w:p>
        </w:tc>
        <w:tc>
          <w:tcPr>
            <w:tcW w:w="40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根据供应商</w:t>
            </w:r>
            <w:r>
              <w:rPr>
                <w:rFonts w:hint="eastAsia" w:ascii="宋体" w:hAnsi="宋体" w:eastAsia="宋体" w:cs="宋体"/>
                <w:color w:val="auto"/>
                <w:sz w:val="24"/>
                <w:highlight w:val="none"/>
                <w:lang w:val="en-US" w:eastAsia="zh-CN"/>
              </w:rPr>
              <w:t>对竞争性</w:t>
            </w:r>
            <w:r>
              <w:rPr>
                <w:rFonts w:hint="eastAsia" w:ascii="宋体" w:hAnsi="宋体" w:eastAsia="宋体" w:cs="宋体"/>
                <w:color w:val="auto"/>
                <w:sz w:val="24"/>
                <w:highlight w:val="none"/>
              </w:rPr>
              <w:t>磋商文件第三章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采购内容及要求</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二、技术要求</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中各项要求的</w:t>
            </w:r>
            <w:r>
              <w:rPr>
                <w:rFonts w:hint="eastAsia" w:ascii="宋体" w:hAnsi="宋体" w:eastAsia="宋体" w:cs="宋体"/>
                <w:color w:val="auto"/>
                <w:sz w:val="24"/>
                <w:highlight w:val="none"/>
                <w:lang w:val="en-US" w:eastAsia="zh-CN"/>
              </w:rPr>
              <w:t>逐项</w:t>
            </w:r>
            <w:r>
              <w:rPr>
                <w:rFonts w:hint="eastAsia" w:ascii="宋体" w:hAnsi="宋体" w:eastAsia="宋体" w:cs="宋体"/>
                <w:color w:val="auto"/>
                <w:sz w:val="24"/>
                <w:highlight w:val="none"/>
              </w:rPr>
              <w:t>响应情况由磋商小组进行评分：完全满足</w:t>
            </w:r>
            <w:r>
              <w:rPr>
                <w:rFonts w:hint="eastAsia" w:ascii="宋体" w:hAnsi="宋体" w:eastAsia="宋体" w:cs="宋体"/>
                <w:color w:val="auto"/>
                <w:sz w:val="24"/>
                <w:highlight w:val="none"/>
                <w:lang w:val="en-US" w:eastAsia="zh-CN"/>
              </w:rPr>
              <w:t>竞争性磋商文件要求的</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（共</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项）；标注“★”号的技术参数为不允许负偏离的要求，若负偏离按无效报价处理；未标注“★”号的技术参数（共1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项）每负偏离一项扣</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分，正偏离不加分。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7" w:hRule="atLeast"/>
        </w:trPr>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2、人员配备及分工</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p>
        </w:tc>
        <w:tc>
          <w:tcPr>
            <w:tcW w:w="40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w:t>
            </w:r>
            <w:r>
              <w:rPr>
                <w:rFonts w:hint="eastAsia" w:ascii="宋体" w:hAnsi="宋体" w:eastAsia="宋体" w:cs="宋体"/>
                <w:color w:val="auto"/>
                <w:kern w:val="0"/>
                <w:sz w:val="24"/>
                <w:highlight w:val="none"/>
              </w:rPr>
              <w:t>供应商</w:t>
            </w:r>
            <w:r>
              <w:rPr>
                <w:rFonts w:hint="eastAsia" w:ascii="宋体" w:hAnsi="宋体" w:eastAsia="宋体" w:cs="宋体"/>
                <w:color w:val="auto"/>
                <w:sz w:val="24"/>
                <w:highlight w:val="none"/>
                <w:lang w:eastAsia="zh-CN"/>
              </w:rPr>
              <w:t>针对本项目提供的人员配备及分工方案</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kern w:val="0"/>
                <w:sz w:val="24"/>
                <w:highlight w:val="none"/>
                <w:lang w:val="en-US" w:eastAsia="zh-CN"/>
              </w:rPr>
              <w:t>情况</w:t>
            </w:r>
            <w:r>
              <w:rPr>
                <w:rFonts w:hint="eastAsia" w:ascii="宋体" w:hAnsi="宋体" w:eastAsia="宋体" w:cs="宋体"/>
                <w:color w:val="auto"/>
                <w:sz w:val="24"/>
                <w:highlight w:val="none"/>
                <w:lang w:eastAsia="zh-CN"/>
              </w:rPr>
              <w:t>由</w:t>
            </w:r>
            <w:r>
              <w:rPr>
                <w:rFonts w:hint="eastAsia" w:ascii="宋体" w:hAnsi="宋体" w:eastAsia="宋体" w:cs="宋体"/>
                <w:color w:val="auto"/>
                <w:kern w:val="0"/>
                <w:sz w:val="24"/>
                <w:highlight w:val="none"/>
              </w:rPr>
              <w:t>磋商小组</w:t>
            </w:r>
            <w:r>
              <w:rPr>
                <w:rFonts w:hint="eastAsia" w:ascii="宋体" w:hAnsi="宋体" w:eastAsia="宋体" w:cs="宋体"/>
                <w:color w:val="auto"/>
                <w:sz w:val="24"/>
                <w:highlight w:val="none"/>
                <w:lang w:eastAsia="zh-CN"/>
              </w:rPr>
              <w:t>进行评分：</w:t>
            </w:r>
            <w:r>
              <w:rPr>
                <w:rFonts w:hint="eastAsia" w:ascii="宋体" w:hAnsi="宋体" w:eastAsia="宋体" w:cs="宋体"/>
                <w:color w:val="auto"/>
                <w:kern w:val="0"/>
                <w:sz w:val="24"/>
                <w:highlight w:val="none"/>
              </w:rPr>
              <w:t>①方案详实、阐述清晰、满足项目需求的得3分；②方案完整、存在部分内容表述不足但无实质性影响的得2分；③方案有少量缺漏、内容合理、可操作性一般的得1分；④提供的相关内容不符合本项目需求或未提供</w:t>
            </w:r>
            <w:r>
              <w:rPr>
                <w:rFonts w:hint="eastAsia" w:ascii="宋体" w:hAnsi="宋体" w:eastAsia="宋体" w:cs="宋体"/>
                <w:color w:val="auto"/>
                <w:kern w:val="0"/>
                <w:sz w:val="24"/>
                <w:highlight w:val="none"/>
                <w:lang w:val="en-US" w:eastAsia="zh-CN"/>
              </w:rPr>
              <w:t>方案</w:t>
            </w:r>
            <w:r>
              <w:rPr>
                <w:rFonts w:hint="eastAsia" w:ascii="宋体" w:hAnsi="宋体" w:eastAsia="宋体" w:cs="宋体"/>
                <w:color w:val="auto"/>
                <w:kern w:val="0"/>
                <w:sz w:val="24"/>
                <w:highlight w:val="none"/>
              </w:rPr>
              <w:t>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、配送服务方案</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p>
        </w:tc>
        <w:tc>
          <w:tcPr>
            <w:tcW w:w="40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根据</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提供的配送服务方案（包括但不限于配货方案、发货检验、配送合理性等)</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kern w:val="0"/>
                <w:sz w:val="24"/>
                <w:highlight w:val="none"/>
                <w:lang w:val="en-US" w:eastAsia="zh-CN"/>
              </w:rPr>
              <w:t>情况由磋商小组</w:t>
            </w:r>
            <w:r>
              <w:rPr>
                <w:rFonts w:hint="eastAsia" w:ascii="宋体" w:hAnsi="宋体" w:eastAsia="宋体" w:cs="宋体"/>
                <w:color w:val="auto"/>
                <w:kern w:val="0"/>
                <w:sz w:val="24"/>
                <w:highlight w:val="none"/>
              </w:rPr>
              <w:t>进行评</w:t>
            </w:r>
            <w:r>
              <w:rPr>
                <w:rFonts w:hint="eastAsia" w:ascii="宋体" w:hAnsi="宋体" w:eastAsia="宋体" w:cs="宋体"/>
                <w:color w:val="auto"/>
                <w:kern w:val="0"/>
                <w:sz w:val="24"/>
                <w:highlight w:val="none"/>
                <w:lang w:val="en-US" w:eastAsia="zh-CN"/>
              </w:rPr>
              <w:t>分</w:t>
            </w:r>
            <w:r>
              <w:rPr>
                <w:rFonts w:hint="eastAsia" w:ascii="宋体" w:hAnsi="宋体" w:eastAsia="宋体" w:cs="宋体"/>
                <w:color w:val="auto"/>
                <w:kern w:val="0"/>
                <w:sz w:val="24"/>
                <w:highlight w:val="none"/>
              </w:rPr>
              <w:t>:①内容完整、详实、阐述清晰、重点突出、科学合理、可行性强的得3分；②内容完整，重点突出，虽存在部分内容表述不足但无实质性影响的得2分；③内容缺漏较多，但提供的内容基本合理的得1分。④内容不合理或未提供</w:t>
            </w:r>
            <w:r>
              <w:rPr>
                <w:rFonts w:hint="eastAsia" w:ascii="宋体" w:hAnsi="宋体" w:eastAsia="宋体" w:cs="宋体"/>
                <w:color w:val="auto"/>
                <w:kern w:val="0"/>
                <w:sz w:val="24"/>
                <w:highlight w:val="none"/>
                <w:lang w:val="en-US" w:eastAsia="zh-CN"/>
              </w:rPr>
              <w:t>方案</w:t>
            </w:r>
            <w:r>
              <w:rPr>
                <w:rFonts w:hint="eastAsia" w:ascii="宋体" w:hAnsi="宋体" w:eastAsia="宋体" w:cs="宋体"/>
                <w:color w:val="auto"/>
                <w:kern w:val="0"/>
                <w:sz w:val="24"/>
                <w:highlight w:val="none"/>
              </w:rPr>
              <w:t>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、运输保障方案</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4049" w:type="pct"/>
            <w:tcBorders>
              <w:top w:val="outset" w:color="auto" w:sz="6" w:space="0"/>
              <w:left w:val="outset" w:color="auto" w:sz="6" w:space="0"/>
              <w:bottom w:val="outset" w:color="auto" w:sz="6" w:space="0"/>
              <w:right w:val="outset" w:color="auto" w:sz="6" w:space="0"/>
            </w:tcBorders>
            <w:shd w:val="clear" w:color="auto" w:fill="auto"/>
          </w:tcPr>
          <w:p>
            <w:pPr>
              <w:pStyle w:val="2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highlight w:val="none"/>
              </w:rPr>
              <w:t>根据投标人针对本项目提供的运输保障方案</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kern w:val="0"/>
                <w:sz w:val="24"/>
                <w:highlight w:val="none"/>
                <w:lang w:val="en-US" w:eastAsia="zh-CN"/>
              </w:rPr>
              <w:t>情况</w:t>
            </w:r>
            <w:r>
              <w:rPr>
                <w:rFonts w:ascii="宋体" w:hAnsi="宋体" w:eastAsia="宋体" w:cs="宋体"/>
                <w:kern w:val="0"/>
                <w:sz w:val="24"/>
                <w:szCs w:val="24"/>
                <w:highlight w:val="none"/>
                <w:lang w:val="en-US" w:eastAsia="zh-CN" w:bidi="ar"/>
              </w:rPr>
              <w:t>由磋商小组进行评分</w:t>
            </w:r>
            <w:r>
              <w:rPr>
                <w:rFonts w:hint="eastAsia" w:ascii="宋体" w:hAnsi="宋体" w:eastAsia="宋体" w:cs="宋体"/>
                <w:kern w:val="0"/>
                <w:sz w:val="24"/>
                <w:szCs w:val="24"/>
                <w:highlight w:val="none"/>
                <w:lang w:val="en-US" w:eastAsia="zh-CN" w:bidi="ar"/>
              </w:rPr>
              <w:t>：</w:t>
            </w:r>
            <w:r>
              <w:rPr>
                <w:rFonts w:hint="eastAsia" w:ascii="宋体" w:hAnsi="宋体" w:eastAsia="宋体" w:cs="宋体"/>
                <w:color w:val="auto"/>
                <w:kern w:val="0"/>
                <w:sz w:val="24"/>
                <w:highlight w:val="none"/>
              </w:rPr>
              <w:t>①方案详实、阐述清晰、可操作性强、满足项目需求的得3分；②方案完整、可操作性较强、存在部分内容表述不足但无实质性影响的得2分；③方案有少量缺漏、内容合理、可操作性一般的得1分；④提供的相关内容不符合本项目需求或未提供</w:t>
            </w:r>
            <w:r>
              <w:rPr>
                <w:rFonts w:hint="eastAsia" w:ascii="宋体" w:hAnsi="宋体" w:eastAsia="宋体" w:cs="宋体"/>
                <w:color w:val="auto"/>
                <w:kern w:val="0"/>
                <w:sz w:val="24"/>
                <w:highlight w:val="none"/>
                <w:lang w:val="en-US" w:eastAsia="zh-CN"/>
              </w:rPr>
              <w:t>方案</w:t>
            </w:r>
            <w:r>
              <w:rPr>
                <w:rFonts w:hint="eastAsia" w:ascii="宋体" w:hAnsi="宋体" w:eastAsia="宋体" w:cs="宋体"/>
                <w:color w:val="auto"/>
                <w:kern w:val="0"/>
                <w:sz w:val="24"/>
                <w:highlight w:val="none"/>
              </w:rPr>
              <w:t>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、内部管理制度</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4049" w:type="pct"/>
            <w:tcBorders>
              <w:top w:val="outset" w:color="auto" w:sz="6" w:space="0"/>
              <w:left w:val="outset" w:color="auto" w:sz="6" w:space="0"/>
              <w:bottom w:val="outset" w:color="auto" w:sz="6" w:space="0"/>
              <w:right w:val="outset" w:color="auto" w:sz="6" w:space="0"/>
            </w:tcBorders>
            <w:shd w:val="clear" w:color="auto" w:fill="auto"/>
          </w:tcPr>
          <w:p>
            <w:pPr>
              <w:pStyle w:val="2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提供的内部管理制度方案</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kern w:val="0"/>
                <w:sz w:val="24"/>
                <w:highlight w:val="none"/>
                <w:lang w:val="en-US" w:eastAsia="zh-CN"/>
              </w:rPr>
              <w:t>情况</w:t>
            </w:r>
            <w:r>
              <w:rPr>
                <w:rFonts w:hint="eastAsia" w:ascii="宋体" w:hAnsi="宋体" w:eastAsia="宋体" w:cs="宋体"/>
                <w:color w:val="auto"/>
                <w:sz w:val="24"/>
                <w:szCs w:val="24"/>
                <w:highlight w:val="none"/>
              </w:rPr>
              <w:t>由</w:t>
            </w:r>
            <w:r>
              <w:rPr>
                <w:rFonts w:ascii="宋体" w:hAnsi="宋体" w:eastAsia="宋体" w:cs="宋体"/>
                <w:kern w:val="0"/>
                <w:sz w:val="24"/>
                <w:szCs w:val="24"/>
                <w:highlight w:val="none"/>
                <w:lang w:val="en-US" w:eastAsia="zh-CN" w:bidi="ar"/>
              </w:rPr>
              <w:t>磋商小组</w:t>
            </w:r>
            <w:r>
              <w:rPr>
                <w:rFonts w:hint="eastAsia" w:ascii="宋体" w:hAnsi="宋体" w:eastAsia="宋体" w:cs="宋体"/>
                <w:color w:val="auto"/>
                <w:sz w:val="24"/>
                <w:szCs w:val="24"/>
                <w:highlight w:val="none"/>
              </w:rPr>
              <w:t>进行评分：</w:t>
            </w:r>
            <w:r>
              <w:rPr>
                <w:rFonts w:hint="eastAsia" w:ascii="宋体" w:hAnsi="宋体" w:eastAsia="宋体" w:cs="宋体"/>
                <w:bCs/>
                <w:color w:val="auto"/>
                <w:sz w:val="24"/>
                <w:szCs w:val="24"/>
                <w:highlight w:val="none"/>
              </w:rPr>
              <w:t>①方案完整、切合实际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阐述详细清晰、合理可行、要点突出得3分；②方案存在缺漏但具有一定可行性，基本符合项目实施需求的得2分；③方案缺漏较多、且针对性不强的得1分；④方案生搬硬套存在明显缺漏、不可行或未提供方案的不得分</w:t>
            </w:r>
            <w:r>
              <w:rPr>
                <w:rFonts w:hint="eastAsia" w:ascii="宋体" w:hAnsi="宋体" w:eastAsia="宋体" w:cs="宋体"/>
                <w:bCs/>
                <w:color w:val="auto"/>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ascii="宋体" w:hAnsi="宋体" w:eastAsia="宋体" w:cs="宋体"/>
                <w:kern w:val="0"/>
                <w:sz w:val="24"/>
                <w:szCs w:val="24"/>
                <w:highlight w:val="none"/>
                <w:lang w:val="en-US" w:eastAsia="zh-CN" w:bidi="ar"/>
              </w:rPr>
              <w:t>供货组织能力</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c>
          <w:tcPr>
            <w:tcW w:w="4049" w:type="pct"/>
            <w:tcBorders>
              <w:top w:val="outset" w:color="auto" w:sz="6" w:space="0"/>
              <w:left w:val="outset" w:color="auto" w:sz="6" w:space="0"/>
              <w:bottom w:val="outset" w:color="auto" w:sz="6" w:space="0"/>
              <w:right w:val="outset" w:color="auto" w:sz="6" w:space="0"/>
            </w:tcBorders>
            <w:shd w:val="clear" w:color="auto" w:fill="auto"/>
          </w:tcPr>
          <w:p>
            <w:pPr>
              <w:pStyle w:val="25"/>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highlight w:val="none"/>
              </w:rPr>
            </w:pPr>
            <w:r>
              <w:rPr>
                <w:rFonts w:ascii="宋体" w:hAnsi="宋体" w:eastAsia="宋体" w:cs="宋体"/>
                <w:kern w:val="0"/>
                <w:sz w:val="24"/>
                <w:szCs w:val="24"/>
                <w:highlight w:val="none"/>
                <w:lang w:val="en-US" w:eastAsia="zh-CN" w:bidi="ar"/>
              </w:rPr>
              <w:t>根据各供应商提供的供货组织</w:t>
            </w:r>
            <w:r>
              <w:rPr>
                <w:rFonts w:hint="eastAsia" w:ascii="宋体" w:hAnsi="宋体" w:eastAsia="宋体" w:cs="宋体"/>
                <w:kern w:val="0"/>
                <w:sz w:val="24"/>
                <w:szCs w:val="24"/>
                <w:highlight w:val="none"/>
                <w:lang w:val="en-US" w:eastAsia="zh-CN" w:bidi="ar"/>
              </w:rPr>
              <w:t>能力</w:t>
            </w:r>
            <w:r>
              <w:rPr>
                <w:rFonts w:ascii="宋体" w:hAnsi="宋体" w:eastAsia="宋体" w:cs="宋体"/>
                <w:kern w:val="0"/>
                <w:sz w:val="24"/>
                <w:szCs w:val="24"/>
                <w:highlight w:val="none"/>
                <w:lang w:val="en-US" w:eastAsia="zh-CN" w:bidi="ar"/>
              </w:rPr>
              <w:t>方案(包括但不限于供货的车辆安排、供货计划安排、供货时间保证措施等)</w:t>
            </w:r>
            <w:r>
              <w:rPr>
                <w:rFonts w:hint="eastAsia" w:ascii="宋体" w:hAnsi="宋体" w:eastAsia="宋体" w:cs="宋体"/>
                <w:kern w:val="0"/>
                <w:sz w:val="24"/>
                <w:szCs w:val="24"/>
                <w:highlight w:val="none"/>
                <w:lang w:val="en-US" w:eastAsia="zh-CN" w:bidi="ar"/>
              </w:rPr>
              <w:t>的情况</w:t>
            </w:r>
            <w:r>
              <w:rPr>
                <w:rFonts w:ascii="宋体" w:hAnsi="宋体" w:eastAsia="宋体" w:cs="宋体"/>
                <w:kern w:val="0"/>
                <w:sz w:val="24"/>
                <w:szCs w:val="24"/>
                <w:highlight w:val="none"/>
                <w:lang w:val="en-US" w:eastAsia="zh-CN" w:bidi="ar"/>
              </w:rPr>
              <w:t>由磋商小组进行评分：</w:t>
            </w:r>
            <w:r>
              <w:rPr>
                <w:rFonts w:hint="eastAsia" w:ascii="宋体" w:hAnsi="宋体" w:eastAsia="宋体" w:cs="宋体"/>
                <w:color w:val="auto"/>
                <w:kern w:val="0"/>
                <w:sz w:val="24"/>
                <w:highlight w:val="none"/>
              </w:rPr>
              <w:t>①方案详实、阐述清晰、可操作性强、满足项目需求的得3分；②方案完整、可操作性较强、存在部分内容表述不足但无实质性影响的得2分；③方案有少量缺漏、内容合理、可操作性一般的得1分；④提供的相关内容不符合本项目需求或未提供</w:t>
            </w:r>
            <w:r>
              <w:rPr>
                <w:rFonts w:hint="eastAsia" w:ascii="宋体" w:hAnsi="宋体" w:eastAsia="宋体" w:cs="宋体"/>
                <w:color w:val="auto"/>
                <w:kern w:val="0"/>
                <w:sz w:val="24"/>
                <w:highlight w:val="none"/>
                <w:lang w:val="en-US" w:eastAsia="zh-CN"/>
              </w:rPr>
              <w:t>方案</w:t>
            </w:r>
            <w:r>
              <w:rPr>
                <w:rFonts w:hint="eastAsia" w:ascii="宋体" w:hAnsi="宋体" w:eastAsia="宋体" w:cs="宋体"/>
                <w:color w:val="auto"/>
                <w:kern w:val="0"/>
                <w:sz w:val="24"/>
                <w:highlight w:val="none"/>
              </w:rPr>
              <w:t>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、应急处理预案</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p>
        </w:tc>
        <w:tc>
          <w:tcPr>
            <w:tcW w:w="40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根据供应商提供的应急处理预案（包括但不限于：应急处理办法等）</w:t>
            </w:r>
            <w:r>
              <w:rPr>
                <w:rFonts w:hint="eastAsia" w:ascii="宋体" w:hAnsi="宋体" w:eastAsia="宋体" w:cs="宋体"/>
                <w:color w:val="auto"/>
                <w:kern w:val="0"/>
                <w:sz w:val="24"/>
                <w:highlight w:val="none"/>
                <w:lang w:eastAsia="zh-CN"/>
              </w:rPr>
              <w:t>的</w:t>
            </w:r>
            <w:r>
              <w:rPr>
                <w:rFonts w:hint="eastAsia" w:ascii="宋体" w:hAnsi="宋体" w:eastAsia="宋体" w:cs="宋体"/>
                <w:color w:val="auto"/>
                <w:kern w:val="0"/>
                <w:sz w:val="24"/>
                <w:highlight w:val="none"/>
                <w:lang w:val="en-US" w:eastAsia="zh-CN"/>
              </w:rPr>
              <w:t>情况</w:t>
            </w:r>
            <w:r>
              <w:rPr>
                <w:rFonts w:hint="eastAsia" w:ascii="宋体" w:hAnsi="宋体" w:eastAsia="宋体" w:cs="宋体"/>
                <w:color w:val="auto"/>
                <w:kern w:val="0"/>
                <w:sz w:val="24"/>
                <w:highlight w:val="none"/>
              </w:rPr>
              <w:t>由磋商小组进行评分：</w:t>
            </w:r>
            <w:r>
              <w:rPr>
                <w:rFonts w:hint="eastAsia" w:ascii="宋体" w:hAnsi="宋体" w:eastAsia="宋体" w:cs="宋体"/>
                <w:color w:val="auto"/>
                <w:sz w:val="24"/>
                <w:highlight w:val="none"/>
              </w:rPr>
              <w:t>①</w:t>
            </w:r>
            <w:r>
              <w:rPr>
                <w:rFonts w:hint="eastAsia" w:ascii="宋体" w:hAnsi="宋体" w:eastAsia="宋体" w:cs="宋体"/>
                <w:color w:val="auto"/>
                <w:kern w:val="0"/>
                <w:sz w:val="24"/>
                <w:highlight w:val="none"/>
              </w:rPr>
              <w:t>对突发、应急事件等考虑全面、重点突出且应对处理方案合理可行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可操作性强、满足项目需求的得3分；</w:t>
            </w:r>
            <w:r>
              <w:rPr>
                <w:rFonts w:hint="eastAsia" w:ascii="宋体" w:hAnsi="宋体" w:eastAsia="宋体" w:cs="宋体"/>
                <w:color w:val="auto"/>
                <w:sz w:val="24"/>
                <w:highlight w:val="none"/>
              </w:rPr>
              <w:t>②</w:t>
            </w:r>
            <w:r>
              <w:rPr>
                <w:rFonts w:hint="eastAsia" w:ascii="宋体" w:hAnsi="宋体" w:eastAsia="宋体" w:cs="宋体"/>
                <w:color w:val="auto"/>
                <w:kern w:val="0"/>
                <w:sz w:val="24"/>
                <w:highlight w:val="none"/>
              </w:rPr>
              <w:t>对突发应急事件等考虑较全面、重点较突出且应对处理方案较合理可行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可操作性较强、存在部分内容表述不足但无实质性影响的得2分；</w:t>
            </w:r>
            <w:r>
              <w:rPr>
                <w:rFonts w:hint="eastAsia" w:ascii="宋体" w:hAnsi="宋体" w:eastAsia="宋体" w:cs="宋体"/>
                <w:color w:val="auto"/>
                <w:sz w:val="24"/>
                <w:highlight w:val="none"/>
              </w:rPr>
              <w:t>③</w:t>
            </w:r>
            <w:r>
              <w:rPr>
                <w:rFonts w:hint="eastAsia" w:ascii="宋体" w:hAnsi="宋体" w:eastAsia="宋体" w:cs="宋体"/>
                <w:color w:val="auto"/>
                <w:kern w:val="0"/>
                <w:sz w:val="24"/>
                <w:highlight w:val="none"/>
              </w:rPr>
              <w:t>对突发、应急事件等考虑有缺漏、处理方案一般、可操作性一般的得1分；</w:t>
            </w:r>
            <w:r>
              <w:rPr>
                <w:rFonts w:hint="eastAsia" w:ascii="宋体" w:hAnsi="宋体" w:eastAsia="宋体" w:cs="宋体"/>
                <w:color w:val="auto"/>
                <w:sz w:val="24"/>
                <w:highlight w:val="none"/>
              </w:rPr>
              <w:t>④</w:t>
            </w:r>
            <w:r>
              <w:rPr>
                <w:rFonts w:hint="eastAsia" w:ascii="宋体" w:hAnsi="宋体" w:eastAsia="宋体" w:cs="宋体"/>
                <w:color w:val="auto"/>
                <w:kern w:val="0"/>
                <w:sz w:val="24"/>
                <w:highlight w:val="none"/>
              </w:rPr>
              <w:t>提供的相关内容不符合本项目需求的或未提供</w:t>
            </w:r>
            <w:r>
              <w:rPr>
                <w:rFonts w:hint="eastAsia" w:ascii="宋体" w:hAnsi="宋体" w:eastAsia="宋体" w:cs="宋体"/>
                <w:color w:val="auto"/>
                <w:kern w:val="0"/>
                <w:sz w:val="24"/>
                <w:highlight w:val="none"/>
                <w:lang w:val="en-US" w:eastAsia="zh-CN"/>
              </w:rPr>
              <w:t>方案</w:t>
            </w:r>
            <w:r>
              <w:rPr>
                <w:rFonts w:hint="eastAsia" w:ascii="宋体" w:hAnsi="宋体" w:eastAsia="宋体" w:cs="宋体"/>
                <w:color w:val="auto"/>
                <w:kern w:val="0"/>
                <w:sz w:val="24"/>
                <w:highlight w:val="none"/>
              </w:rPr>
              <w:t>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、产品质量承诺</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4049" w:type="pct"/>
            <w:tcBorders>
              <w:top w:val="outset" w:color="auto" w:sz="6" w:space="0"/>
              <w:left w:val="outset" w:color="auto" w:sz="6" w:space="0"/>
              <w:bottom w:val="outset" w:color="auto" w:sz="6" w:space="0"/>
              <w:right w:val="outset" w:color="auto" w:sz="6" w:space="0"/>
            </w:tcBorders>
            <w:shd w:val="clear" w:color="auto" w:fill="auto"/>
          </w:tcPr>
          <w:p>
            <w:pPr>
              <w:pStyle w:val="24"/>
              <w:keepNext w:val="0"/>
              <w:keepLines w:val="0"/>
              <w:pageBreakBefore w:val="0"/>
              <w:widowControl w:val="0"/>
              <w:kinsoku/>
              <w:wordWrap/>
              <w:overflowPunct w:val="0"/>
              <w:topLinePunct w:val="0"/>
              <w:autoSpaceDE w:val="0"/>
              <w:autoSpaceDN w:val="0"/>
              <w:bidi w:val="0"/>
              <w:adjustRightInd w:val="0"/>
              <w:snapToGrid/>
              <w:spacing w:line="360" w:lineRule="auto"/>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kern w:val="0"/>
                <w:sz w:val="24"/>
                <w:highlight w:val="none"/>
              </w:rPr>
              <w:t>产品质量保证承诺：提供的产品符合国家相关产业政策，合法销售、原厂原装，严格执行国家“三包”政策的得</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分。</w:t>
            </w:r>
            <w:r>
              <w:rPr>
                <w:rFonts w:hint="eastAsia" w:ascii="宋体" w:hAnsi="宋体" w:eastAsia="宋体" w:cs="宋体"/>
                <w:color w:val="auto"/>
                <w:kern w:val="0"/>
                <w:sz w:val="24"/>
                <w:highlight w:val="none"/>
              </w:rPr>
              <w:t>未提供</w:t>
            </w:r>
            <w:r>
              <w:rPr>
                <w:rFonts w:hint="eastAsia" w:ascii="宋体" w:hAnsi="宋体" w:eastAsia="宋体" w:cs="宋体"/>
                <w:color w:val="auto"/>
                <w:kern w:val="0"/>
                <w:sz w:val="24"/>
                <w:highlight w:val="none"/>
                <w:lang w:val="en-US" w:eastAsia="zh-CN"/>
              </w:rPr>
              <w:t>承诺</w:t>
            </w:r>
            <w:r>
              <w:rPr>
                <w:rFonts w:hint="eastAsia" w:ascii="宋体" w:hAnsi="宋体" w:eastAsia="宋体" w:cs="宋体"/>
                <w:color w:val="auto"/>
                <w:kern w:val="0"/>
                <w:sz w:val="24"/>
                <w:highlight w:val="none"/>
              </w:rPr>
              <w:t>的不得分</w:t>
            </w:r>
            <w:r>
              <w:rPr>
                <w:rFonts w:hint="eastAsia" w:ascii="宋体" w:hAnsi="宋体" w:eastAsia="宋体" w:cs="宋体"/>
                <w:kern w:val="0"/>
                <w:sz w:val="24"/>
                <w:highlight w:val="none"/>
              </w:rPr>
              <w:t>（承诺函格式自拟）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ascii="宋体" w:hAnsi="宋体" w:cs="宋体"/>
                <w:sz w:val="24"/>
                <w:szCs w:val="24"/>
                <w:highlight w:val="none"/>
                <w:lang w:eastAsia="zh-CN"/>
              </w:rPr>
              <w:t>验收方案</w:t>
            </w: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40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根据供应商提供的针对本项目</w:t>
            </w:r>
            <w:r>
              <w:rPr>
                <w:rFonts w:hint="eastAsia" w:ascii="宋体" w:hAnsi="宋体" w:cs="宋体"/>
                <w:kern w:val="0"/>
                <w:sz w:val="24"/>
                <w:highlight w:val="none"/>
              </w:rPr>
              <w:t>验收方案</w:t>
            </w:r>
            <w:r>
              <w:rPr>
                <w:rFonts w:hint="eastAsia" w:ascii="宋体" w:hAnsi="宋体" w:eastAsia="宋体" w:cs="宋体"/>
                <w:bCs/>
                <w:color w:val="auto"/>
                <w:sz w:val="24"/>
                <w:highlight w:val="none"/>
              </w:rPr>
              <w:t>（包括但不限于</w:t>
            </w:r>
            <w:r>
              <w:rPr>
                <w:rFonts w:hint="eastAsia" w:ascii="宋体" w:hAnsi="宋体" w:cs="宋体"/>
                <w:kern w:val="0"/>
                <w:sz w:val="24"/>
                <w:highlight w:val="none"/>
              </w:rPr>
              <w:t>验收的组织形式、程序、注意事项、验收环节和内容</w:t>
            </w:r>
            <w:r>
              <w:rPr>
                <w:rFonts w:hint="eastAsia" w:ascii="宋体" w:hAnsi="宋体" w:eastAsia="宋体" w:cs="宋体"/>
                <w:bCs/>
                <w:color w:val="auto"/>
                <w:sz w:val="24"/>
                <w:highlight w:val="none"/>
              </w:rPr>
              <w:t>等）</w:t>
            </w:r>
            <w:r>
              <w:rPr>
                <w:rFonts w:hint="eastAsia" w:ascii="宋体" w:hAnsi="宋体" w:eastAsia="宋体" w:cs="宋体"/>
                <w:bCs/>
                <w:color w:val="auto"/>
                <w:sz w:val="24"/>
                <w:highlight w:val="none"/>
                <w:lang w:eastAsia="zh-CN"/>
              </w:rPr>
              <w:t>的</w:t>
            </w:r>
            <w:r>
              <w:rPr>
                <w:rFonts w:hint="eastAsia" w:ascii="宋体" w:hAnsi="宋体" w:eastAsia="宋体" w:cs="宋体"/>
                <w:bCs/>
                <w:color w:val="auto"/>
                <w:sz w:val="24"/>
                <w:highlight w:val="none"/>
                <w:lang w:val="en-US" w:eastAsia="zh-CN"/>
              </w:rPr>
              <w:t>情况</w:t>
            </w:r>
            <w:r>
              <w:rPr>
                <w:rFonts w:hint="eastAsia" w:ascii="宋体" w:hAnsi="宋体" w:eastAsia="宋体" w:cs="宋体"/>
                <w:color w:val="auto"/>
                <w:kern w:val="0"/>
                <w:sz w:val="24"/>
                <w:highlight w:val="none"/>
              </w:rPr>
              <w:t>由磋商小组进行评分：①</w:t>
            </w:r>
            <w:r>
              <w:rPr>
                <w:rFonts w:hint="eastAsia" w:ascii="宋体" w:hAnsi="宋体" w:cs="宋体"/>
                <w:kern w:val="0"/>
                <w:sz w:val="24"/>
                <w:highlight w:val="none"/>
              </w:rPr>
              <w:t>方案完善具体、契合实际、具有操作性的</w:t>
            </w:r>
            <w:r>
              <w:rPr>
                <w:rFonts w:hint="eastAsia" w:ascii="宋体" w:hAnsi="宋体" w:eastAsia="宋体" w:cs="宋体"/>
                <w:color w:val="auto"/>
                <w:kern w:val="0"/>
                <w:sz w:val="24"/>
                <w:highlight w:val="none"/>
              </w:rPr>
              <w:t>得3分；②</w:t>
            </w:r>
            <w:r>
              <w:rPr>
                <w:rFonts w:hint="eastAsia" w:ascii="宋体" w:hAnsi="宋体" w:cs="宋体"/>
                <w:kern w:val="0"/>
                <w:sz w:val="24"/>
                <w:highlight w:val="none"/>
              </w:rPr>
              <w:t>方案较完善具体、较契合实际、较有操作性</w:t>
            </w:r>
            <w:r>
              <w:rPr>
                <w:rFonts w:hint="eastAsia" w:ascii="宋体" w:hAnsi="宋体" w:eastAsia="宋体" w:cs="宋体"/>
                <w:color w:val="auto"/>
                <w:kern w:val="0"/>
                <w:sz w:val="24"/>
                <w:highlight w:val="none"/>
              </w:rPr>
              <w:t>得2分；③</w:t>
            </w:r>
            <w:r>
              <w:rPr>
                <w:rFonts w:hint="eastAsia" w:ascii="宋体" w:hAnsi="宋体" w:cs="宋体"/>
                <w:kern w:val="0"/>
                <w:sz w:val="24"/>
                <w:highlight w:val="none"/>
              </w:rPr>
              <w:t>方案不够完善具体、不够契合实际、不够具有操作性</w:t>
            </w:r>
            <w:r>
              <w:rPr>
                <w:rFonts w:hint="eastAsia" w:ascii="宋体" w:hAnsi="宋体" w:eastAsia="宋体" w:cs="宋体"/>
                <w:color w:val="auto"/>
                <w:kern w:val="0"/>
                <w:sz w:val="24"/>
                <w:highlight w:val="none"/>
              </w:rPr>
              <w:t>的得1分；④提供的相关内容不符合本项目需求或未提供</w:t>
            </w:r>
            <w:r>
              <w:rPr>
                <w:rFonts w:hint="eastAsia" w:ascii="宋体" w:hAnsi="宋体" w:eastAsia="宋体" w:cs="宋体"/>
                <w:color w:val="auto"/>
                <w:kern w:val="0"/>
                <w:sz w:val="24"/>
                <w:highlight w:val="none"/>
                <w:lang w:val="en-US" w:eastAsia="zh-CN"/>
              </w:rPr>
              <w:t>方案</w:t>
            </w:r>
            <w:r>
              <w:rPr>
                <w:rFonts w:hint="eastAsia" w:ascii="宋体" w:hAnsi="宋体" w:eastAsia="宋体" w:cs="宋体"/>
                <w:color w:val="auto"/>
                <w:kern w:val="0"/>
                <w:sz w:val="24"/>
                <w:highlight w:val="none"/>
              </w:rPr>
              <w:t>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260" w:after="26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r>
              <w:rPr>
                <w:rFonts w:hint="eastAsia" w:ascii="宋体" w:hAnsi="宋体" w:eastAsia="宋体" w:cs="宋体"/>
                <w:bCs/>
                <w:color w:val="auto"/>
                <w:sz w:val="24"/>
                <w:szCs w:val="24"/>
                <w:highlight w:val="none"/>
              </w:rPr>
              <w:t>退换货方案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p>
        </w:tc>
        <w:tc>
          <w:tcPr>
            <w:tcW w:w="35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04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szCs w:val="24"/>
                <w:highlight w:val="none"/>
              </w:rPr>
              <w:t>根据</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提供的退换货方案（包括但不限于：退换货流程、退换货便利性说明及退换货时间承诺)</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情况由磋商小组</w:t>
            </w:r>
            <w:r>
              <w:rPr>
                <w:rFonts w:hint="eastAsia" w:ascii="宋体" w:hAnsi="宋体" w:eastAsia="宋体" w:cs="宋体"/>
                <w:bCs/>
                <w:color w:val="auto"/>
                <w:sz w:val="24"/>
                <w:szCs w:val="24"/>
                <w:highlight w:val="none"/>
              </w:rPr>
              <w:t>进行评审:①方案完整、切合实际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阐述详细清晰、合理可行、要点突出得3分；②方案存在缺漏但具有一定可行性，基本符合项目实施需求的得2分；③方案缺漏较多、且针对性不强的得1分；④方案生搬硬套存在明显缺漏、不可行或未提供方案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55" w:type="dxa"/>
            <w:tcBorders>
              <w:top w:val="outset" w:color="auto" w:sz="6" w:space="0"/>
              <w:left w:val="outset" w:color="auto" w:sz="6" w:space="0"/>
              <w:bottom w:val="outset" w:color="auto" w:sz="6" w:space="0"/>
              <w:right w:val="outset" w:color="auto" w:sz="6" w:space="0"/>
            </w:tcBorders>
            <w:shd w:val="clear" w:color="auto" w:fill="auto"/>
            <w:vAlign w:val="top"/>
          </w:tcPr>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11.临时用货应急方案</w:t>
            </w:r>
          </w:p>
        </w:tc>
        <w:tc>
          <w:tcPr>
            <w:tcW w:w="639" w:type="dxa"/>
            <w:tcBorders>
              <w:top w:val="outset" w:color="auto" w:sz="6" w:space="0"/>
              <w:left w:val="outset" w:color="auto" w:sz="6" w:space="0"/>
              <w:bottom w:val="outset" w:color="auto" w:sz="6" w:space="0"/>
              <w:right w:val="outset" w:color="auto" w:sz="6" w:space="0"/>
            </w:tcBorders>
            <w:shd w:val="clear" w:color="auto" w:fill="auto"/>
            <w:vAlign w:val="top"/>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7227" w:type="dxa"/>
            <w:tcBorders>
              <w:top w:val="outset" w:color="auto" w:sz="6" w:space="0"/>
              <w:left w:val="outset" w:color="auto" w:sz="6" w:space="0"/>
              <w:bottom w:val="outset" w:color="auto" w:sz="6" w:space="0"/>
              <w:right w:val="outset" w:color="auto" w:sz="6" w:space="0"/>
            </w:tcBorders>
            <w:shd w:val="clear" w:color="auto" w:fill="auto"/>
            <w:vAlign w:val="top"/>
          </w:tcPr>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根据供应商针对本项目供货产品的特点提出的临时用货应急方案的情况由磋商小组</w:t>
            </w:r>
            <w:r>
              <w:rPr>
                <w:rFonts w:hint="eastAsia" w:ascii="宋体" w:hAnsi="宋体" w:eastAsia="宋体" w:cs="宋体"/>
                <w:bCs/>
                <w:color w:val="auto"/>
                <w:sz w:val="24"/>
                <w:szCs w:val="24"/>
                <w:highlight w:val="none"/>
              </w:rPr>
              <w:t>进行评审</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Cs/>
                <w:color w:val="auto"/>
                <w:sz w:val="24"/>
                <w:szCs w:val="24"/>
                <w:highlight w:val="none"/>
              </w:rPr>
              <w:t>①方案完整、切合实际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阐述详细清晰、合理可行、要点突出得3分；②方案存在缺漏但具有一定可行性，基本符合项目实施需求的得2分；③方案缺漏较多、且针对性不强的得1分；④方案生搬硬套存在明显缺漏、不可行或未提供方案的不得分</w:t>
            </w:r>
          </w:p>
        </w:tc>
      </w:tr>
    </w:tbl>
    <w:p>
      <w:pPr>
        <w:rPr>
          <w:rFonts w:ascii="宋体" w:hAnsi="宋体" w:eastAsia="宋体" w:cs="宋体"/>
          <w:sz w:val="24"/>
          <w:highlight w:val="none"/>
        </w:rPr>
      </w:pPr>
    </w:p>
    <w:p>
      <w:pPr>
        <w:pStyle w:val="25"/>
        <w:rPr>
          <w:rFonts w:hint="default" w:ascii="宋体" w:hAnsi="宋体" w:eastAsia="宋体" w:cs="宋体"/>
          <w:sz w:val="24"/>
          <w:szCs w:val="24"/>
          <w:highlight w:val="none"/>
        </w:rPr>
      </w:pPr>
      <w:r>
        <w:rPr>
          <w:rFonts w:ascii="宋体" w:hAnsi="宋体" w:eastAsia="宋体" w:cs="宋体"/>
          <w:sz w:val="24"/>
          <w:szCs w:val="24"/>
          <w:highlight w:val="none"/>
        </w:rPr>
        <w:t>商务部分评分PB 满分为</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.00分</w:t>
      </w:r>
    </w:p>
    <w:tbl>
      <w:tblPr>
        <w:tblStyle w:val="18"/>
        <w:tblW w:w="5034"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48"/>
        <w:gridCol w:w="603"/>
        <w:gridCol w:w="71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2" w:hRule="atLeast"/>
          <w:tblHeader/>
        </w:trPr>
        <w:tc>
          <w:tcPr>
            <w:tcW w:w="59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评标项目</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评标分值</w:t>
            </w:r>
          </w:p>
        </w:tc>
        <w:tc>
          <w:tcPr>
            <w:tcW w:w="40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4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宋体" w:hAnsi="宋体" w:cs="宋体"/>
                <w:kern w:val="0"/>
                <w:sz w:val="24"/>
                <w:highlight w:val="none"/>
              </w:rPr>
              <w:t>1.售后服务</w:t>
            </w:r>
          </w:p>
        </w:tc>
        <w:tc>
          <w:tcPr>
            <w:tcW w:w="6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center"/>
              <w:rPr>
                <w:rFonts w:asciiTheme="minorEastAsia" w:hAnsiTheme="minorEastAsia" w:cstheme="minorEastAsia"/>
                <w:color w:val="auto"/>
                <w:kern w:val="0"/>
                <w:sz w:val="24"/>
                <w:highlight w:val="none"/>
              </w:rPr>
            </w:pPr>
            <w:r>
              <w:rPr>
                <w:rFonts w:hint="eastAsia" w:ascii="宋体" w:hAnsi="宋体" w:cs="宋体"/>
                <w:kern w:val="0"/>
                <w:sz w:val="24"/>
                <w:highlight w:val="none"/>
              </w:rPr>
              <w:t>3</w:t>
            </w:r>
          </w:p>
        </w:tc>
        <w:tc>
          <w:tcPr>
            <w:tcW w:w="71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asciiTheme="minorEastAsia" w:hAnsiTheme="minorEastAsia" w:cstheme="minorEastAsia"/>
                <w:color w:val="auto"/>
                <w:kern w:val="0"/>
                <w:sz w:val="24"/>
                <w:highlight w:val="none"/>
              </w:rPr>
            </w:pPr>
            <w:r>
              <w:rPr>
                <w:rFonts w:hint="eastAsia" w:ascii="宋体" w:hAnsi="宋体" w:cs="宋体"/>
                <w:kern w:val="0"/>
                <w:sz w:val="24"/>
                <w:highlight w:val="none"/>
              </w:rPr>
              <w:t>根据</w:t>
            </w:r>
            <w:r>
              <w:rPr>
                <w:rFonts w:hint="eastAsia" w:asciiTheme="minorEastAsia" w:hAnsiTheme="minorEastAsia" w:cstheme="minorEastAsia"/>
                <w:color w:val="auto"/>
                <w:kern w:val="0"/>
                <w:sz w:val="24"/>
                <w:highlight w:val="none"/>
              </w:rPr>
              <w:t>供应商</w:t>
            </w:r>
            <w:r>
              <w:rPr>
                <w:rFonts w:hint="eastAsia" w:ascii="宋体" w:hAnsi="宋体" w:cs="宋体"/>
                <w:kern w:val="0"/>
                <w:sz w:val="24"/>
                <w:highlight w:val="none"/>
              </w:rPr>
              <w:t>的售后服务承诺、故障排除、修复措施等方面，由</w:t>
            </w:r>
            <w:r>
              <w:rPr>
                <w:rFonts w:hint="eastAsia" w:asciiTheme="minorEastAsia" w:hAnsiTheme="minorEastAsia" w:cstheme="minorEastAsia"/>
                <w:color w:val="auto"/>
                <w:kern w:val="0"/>
                <w:sz w:val="24"/>
                <w:highlight w:val="none"/>
              </w:rPr>
              <w:t>磋商小组</w:t>
            </w:r>
            <w:r>
              <w:rPr>
                <w:rFonts w:hint="eastAsia" w:ascii="宋体" w:hAnsi="宋体" w:cs="宋体"/>
                <w:kern w:val="0"/>
                <w:sz w:val="24"/>
                <w:highlight w:val="none"/>
              </w:rPr>
              <w:t>进行</w:t>
            </w:r>
            <w:r>
              <w:rPr>
                <w:rFonts w:hint="eastAsia" w:asciiTheme="minorEastAsia" w:hAnsiTheme="minorEastAsia" w:cstheme="minorEastAsia"/>
                <w:color w:val="auto"/>
                <w:kern w:val="0"/>
                <w:sz w:val="24"/>
                <w:highlight w:val="none"/>
              </w:rPr>
              <w:t>评定</w:t>
            </w:r>
            <w:r>
              <w:rPr>
                <w:rFonts w:hint="eastAsia" w:ascii="宋体" w:hAnsi="宋体" w:cs="宋体"/>
                <w:kern w:val="0"/>
                <w:sz w:val="24"/>
                <w:highlight w:val="none"/>
              </w:rPr>
              <w:t>：</w:t>
            </w:r>
            <w:r>
              <w:rPr>
                <w:rFonts w:hint="eastAsia" w:ascii="宋体" w:hAnsi="宋体" w:eastAsia="宋体" w:cs="宋体"/>
                <w:bCs/>
                <w:color w:val="auto"/>
                <w:sz w:val="24"/>
                <w:szCs w:val="24"/>
                <w:highlight w:val="none"/>
              </w:rPr>
              <w:t>①</w:t>
            </w:r>
            <w:r>
              <w:rPr>
                <w:rFonts w:hint="eastAsia" w:ascii="宋体" w:hAnsi="宋体" w:cs="宋体"/>
                <w:kern w:val="0"/>
                <w:sz w:val="24"/>
                <w:highlight w:val="none"/>
              </w:rPr>
              <w:t>售后服务承诺内容符合实际、效率高得3分</w:t>
            </w:r>
            <w:r>
              <w:rPr>
                <w:rFonts w:hint="eastAsia" w:ascii="宋体" w:hAnsi="宋体" w:cs="宋体"/>
                <w:kern w:val="0"/>
                <w:sz w:val="24"/>
                <w:highlight w:val="none"/>
                <w:lang w:eastAsia="zh-CN"/>
              </w:rPr>
              <w:t>；</w:t>
            </w:r>
            <w:r>
              <w:rPr>
                <w:rFonts w:hint="eastAsia" w:ascii="宋体" w:hAnsi="宋体" w:eastAsia="宋体" w:cs="宋体"/>
                <w:bCs/>
                <w:color w:val="auto"/>
                <w:sz w:val="24"/>
                <w:szCs w:val="24"/>
                <w:highlight w:val="none"/>
              </w:rPr>
              <w:t>②</w:t>
            </w:r>
            <w:r>
              <w:rPr>
                <w:rFonts w:hint="eastAsia" w:ascii="宋体" w:hAnsi="宋体" w:cs="宋体"/>
                <w:kern w:val="0"/>
                <w:sz w:val="24"/>
                <w:highlight w:val="none"/>
              </w:rPr>
              <w:t>售后服务承诺内容较符合实际、效率较高得2分</w:t>
            </w:r>
            <w:r>
              <w:rPr>
                <w:rFonts w:hint="eastAsia" w:ascii="宋体" w:hAnsi="宋体" w:cs="宋体"/>
                <w:kern w:val="0"/>
                <w:sz w:val="24"/>
                <w:highlight w:val="none"/>
                <w:lang w:eastAsia="zh-CN"/>
              </w:rPr>
              <w:t>；</w:t>
            </w:r>
            <w:r>
              <w:rPr>
                <w:rFonts w:hint="eastAsia" w:ascii="宋体" w:hAnsi="宋体" w:eastAsia="宋体" w:cs="宋体"/>
                <w:bCs/>
                <w:color w:val="auto"/>
                <w:sz w:val="24"/>
                <w:szCs w:val="24"/>
                <w:highlight w:val="none"/>
              </w:rPr>
              <w:t>③</w:t>
            </w:r>
            <w:r>
              <w:rPr>
                <w:rFonts w:hint="eastAsia" w:ascii="宋体" w:hAnsi="宋体" w:cs="宋体"/>
                <w:kern w:val="0"/>
                <w:sz w:val="24"/>
                <w:highlight w:val="none"/>
              </w:rPr>
              <w:t>售后服务承诺内容一般得1分</w:t>
            </w:r>
            <w:r>
              <w:rPr>
                <w:rFonts w:hint="eastAsia" w:ascii="宋体" w:hAnsi="宋体" w:cs="宋体"/>
                <w:kern w:val="0"/>
                <w:sz w:val="24"/>
                <w:highlight w:val="none"/>
                <w:lang w:eastAsia="zh-CN"/>
              </w:rPr>
              <w:t>；</w:t>
            </w:r>
            <w:r>
              <w:rPr>
                <w:rFonts w:hint="eastAsia" w:ascii="宋体" w:hAnsi="宋体" w:eastAsia="宋体" w:cs="宋体"/>
                <w:bCs/>
                <w:color w:val="auto"/>
                <w:sz w:val="24"/>
                <w:szCs w:val="24"/>
                <w:highlight w:val="none"/>
              </w:rPr>
              <w:t>④</w:t>
            </w:r>
            <w:r>
              <w:rPr>
                <w:rFonts w:hint="eastAsia" w:ascii="宋体" w:hAnsi="宋体" w:cs="宋体"/>
                <w:kern w:val="0"/>
                <w:sz w:val="24"/>
                <w:highlight w:val="none"/>
              </w:rPr>
              <w:t>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lang w:val="en-US" w:eastAsia="zh-CN"/>
              </w:rPr>
              <w:t>2</w:t>
            </w:r>
            <w:r>
              <w:rPr>
                <w:rFonts w:hint="eastAsia" w:asciiTheme="minorEastAsia" w:hAnsiTheme="minorEastAsia" w:cstheme="minorEastAsia"/>
                <w:color w:val="auto"/>
                <w:kern w:val="0"/>
                <w:sz w:val="24"/>
                <w:highlight w:val="none"/>
              </w:rPr>
              <w:t>、满意度</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3</w:t>
            </w:r>
          </w:p>
        </w:tc>
        <w:tc>
          <w:tcPr>
            <w:tcW w:w="40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根据供应商所提供自2020年1月1日至本次</w:t>
            </w:r>
            <w:r>
              <w:rPr>
                <w:rFonts w:hint="eastAsia" w:asciiTheme="minorEastAsia" w:hAnsiTheme="minorEastAsia" w:cstheme="minorEastAsia"/>
                <w:color w:val="auto"/>
                <w:kern w:val="0"/>
                <w:sz w:val="24"/>
                <w:highlight w:val="none"/>
                <w:lang w:val="en-US" w:eastAsia="zh-CN"/>
              </w:rPr>
              <w:t>提交响应文件</w:t>
            </w:r>
            <w:r>
              <w:rPr>
                <w:rFonts w:hint="eastAsia" w:asciiTheme="minorEastAsia" w:hAnsiTheme="minorEastAsia" w:cstheme="minorEastAsia"/>
                <w:color w:val="auto"/>
                <w:kern w:val="0"/>
                <w:sz w:val="24"/>
                <w:highlight w:val="none"/>
              </w:rPr>
              <w:t>截止时间(日期以签订合同时间为准)与本项目同类型的项目获得业主单位满意度评价为“优秀”或者“满意”等类似评价的，每提供</w:t>
            </w:r>
            <w:r>
              <w:rPr>
                <w:rFonts w:asciiTheme="minorEastAsia" w:hAnsiTheme="minorEastAsia" w:cstheme="minorEastAsia"/>
                <w:color w:val="auto"/>
                <w:kern w:val="0"/>
                <w:sz w:val="24"/>
                <w:highlight w:val="none"/>
              </w:rPr>
              <w:t>1份得1分，满分3</w:t>
            </w:r>
            <w:r>
              <w:rPr>
                <w:rFonts w:hint="eastAsia" w:asciiTheme="minorEastAsia" w:hAnsiTheme="minorEastAsia" w:cstheme="minorEastAsia"/>
                <w:color w:val="auto"/>
                <w:kern w:val="0"/>
                <w:sz w:val="24"/>
                <w:highlight w:val="none"/>
              </w:rPr>
              <w:t>分。未提供的不得分。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kern w:val="0"/>
                <w:sz w:val="24"/>
                <w:highlight w:val="none"/>
              </w:rPr>
              <w:t>注：</w:t>
            </w:r>
            <w:r>
              <w:rPr>
                <w:rFonts w:hint="eastAsia" w:asciiTheme="minorEastAsia" w:hAnsiTheme="minorEastAsia" w:cstheme="minorEastAsia"/>
                <w:b w:val="0"/>
                <w:bCs w:val="0"/>
                <w:color w:val="auto"/>
                <w:kern w:val="0"/>
                <w:sz w:val="24"/>
                <w:highlight w:val="none"/>
              </w:rPr>
              <w:t>【</w:t>
            </w:r>
            <w:r>
              <w:rPr>
                <w:rFonts w:hint="eastAsia" w:asciiTheme="minorEastAsia" w:hAnsiTheme="minorEastAsia" w:cstheme="minorEastAsia"/>
                <w:b w:val="0"/>
                <w:bCs w:val="0"/>
                <w:color w:val="auto"/>
                <w:kern w:val="0"/>
                <w:sz w:val="24"/>
                <w:highlight w:val="none"/>
                <w:lang w:val="en-US" w:eastAsia="zh-CN"/>
              </w:rPr>
              <w:t>供应商</w:t>
            </w:r>
            <w:r>
              <w:rPr>
                <w:rFonts w:hint="eastAsia" w:asciiTheme="minorEastAsia" w:hAnsiTheme="minorEastAsia" w:cstheme="minorEastAsia"/>
                <w:b w:val="0"/>
                <w:bCs w:val="0"/>
                <w:color w:val="auto"/>
                <w:kern w:val="0"/>
                <w:sz w:val="24"/>
                <w:highlight w:val="none"/>
              </w:rPr>
              <w:t>须提供该业绩的中标（成交）公告（提供相关网站中标（成交）公告的下载网页的复印件及其网址）、中标（成交）通知书复印件、采购合同文本复印件</w:t>
            </w:r>
            <w:r>
              <w:rPr>
                <w:rFonts w:hint="eastAsia" w:asciiTheme="minorEastAsia" w:hAnsiTheme="minorEastAsia" w:cstheme="minorEastAsia"/>
                <w:b w:val="0"/>
                <w:bCs w:val="0"/>
                <w:color w:val="auto"/>
                <w:kern w:val="0"/>
                <w:sz w:val="24"/>
                <w:highlight w:val="none"/>
                <w:lang w:eastAsia="zh-CN"/>
              </w:rPr>
              <w:t>、</w:t>
            </w:r>
            <w:r>
              <w:rPr>
                <w:rFonts w:hint="eastAsia" w:asciiTheme="minorEastAsia" w:hAnsiTheme="minorEastAsia" w:cstheme="minorEastAsia"/>
                <w:color w:val="auto"/>
                <w:kern w:val="0"/>
                <w:sz w:val="24"/>
                <w:highlight w:val="none"/>
              </w:rPr>
              <w:t>业主单位满意度证明资料复印件。所有材料缺一不可，否则不得分。</w:t>
            </w:r>
            <w:r>
              <w:rPr>
                <w:rFonts w:hint="eastAsia" w:asciiTheme="minorEastAsia" w:hAnsiTheme="minorEastAsia" w:cstheme="minorEastAsia"/>
                <w:b w:val="0"/>
                <w:bCs w:val="0"/>
                <w:color w:val="auto"/>
                <w:kern w:val="0"/>
                <w:sz w:val="24"/>
                <w:highlight w:val="none"/>
              </w:rPr>
              <w:t>】</w:t>
            </w:r>
            <w:r>
              <w:rPr>
                <w:rFonts w:hint="eastAsia" w:asciiTheme="minorEastAsia" w:hAnsiTheme="minorEastAsia" w:cstheme="minorEastAsia"/>
                <w:b/>
                <w:bCs/>
                <w:color w:val="auto"/>
                <w:kern w:val="0"/>
                <w:sz w:val="24"/>
                <w:highlight w:val="none"/>
              </w:rPr>
              <w:t>“</w:t>
            </w:r>
            <w:r>
              <w:rPr>
                <w:rFonts w:hint="eastAsia" w:asciiTheme="minorEastAsia" w:hAnsiTheme="minorEastAsia" w:cstheme="minorEastAsia"/>
                <w:b/>
                <w:bCs/>
                <w:color w:val="auto"/>
                <w:kern w:val="0"/>
                <w:sz w:val="24"/>
                <w:highlight w:val="none"/>
                <w:lang w:val="en-US" w:eastAsia="zh-CN"/>
              </w:rPr>
              <w:t>满意度</w:t>
            </w:r>
            <w:r>
              <w:rPr>
                <w:rFonts w:hint="eastAsia" w:asciiTheme="minorEastAsia" w:hAnsiTheme="minorEastAsia" w:cstheme="minorEastAsia"/>
                <w:b/>
                <w:bCs/>
                <w:color w:val="auto"/>
                <w:kern w:val="0"/>
                <w:sz w:val="24"/>
                <w:highlight w:val="none"/>
              </w:rPr>
              <w:t>”评分项与“</w:t>
            </w:r>
            <w:r>
              <w:rPr>
                <w:rFonts w:hint="eastAsia" w:asciiTheme="minorEastAsia" w:hAnsiTheme="minorEastAsia" w:cstheme="minorEastAsia"/>
                <w:b/>
                <w:bCs/>
                <w:color w:val="auto"/>
                <w:kern w:val="0"/>
                <w:sz w:val="24"/>
                <w:highlight w:val="none"/>
                <w:lang w:val="en-US" w:eastAsia="zh-CN"/>
              </w:rPr>
              <w:t>业绩</w:t>
            </w:r>
            <w:r>
              <w:rPr>
                <w:rFonts w:hint="eastAsia" w:asciiTheme="minorEastAsia" w:hAnsiTheme="minorEastAsia" w:cstheme="minorEastAsia"/>
                <w:b/>
                <w:bCs/>
                <w:color w:val="auto"/>
                <w:kern w:val="0"/>
                <w:sz w:val="24"/>
                <w:highlight w:val="none"/>
              </w:rPr>
              <w:t>”评分项提供同一项目不得重复得分。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9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kern w:val="0"/>
                <w:sz w:val="24"/>
                <w:highlight w:val="none"/>
                <w:lang w:val="en-US" w:eastAsia="zh-CN"/>
              </w:rPr>
              <w:t>3</w:t>
            </w:r>
            <w:r>
              <w:rPr>
                <w:rFonts w:hint="eastAsia" w:asciiTheme="minorEastAsia" w:hAnsiTheme="minorEastAsia" w:cstheme="minorEastAsia"/>
                <w:color w:val="auto"/>
                <w:kern w:val="0"/>
                <w:sz w:val="24"/>
                <w:highlight w:val="none"/>
              </w:rPr>
              <w:t>、应急</w:t>
            </w:r>
            <w:r>
              <w:rPr>
                <w:rFonts w:hint="eastAsia" w:asciiTheme="minorEastAsia" w:hAnsiTheme="minorEastAsia" w:cstheme="minorEastAsia"/>
                <w:color w:val="auto"/>
                <w:kern w:val="0"/>
                <w:sz w:val="24"/>
                <w:highlight w:val="none"/>
                <w:lang w:val="en-US" w:eastAsia="zh-CN"/>
              </w:rPr>
              <w:t>响应时间</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40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根据供应商</w:t>
            </w:r>
            <w:r>
              <w:rPr>
                <w:rFonts w:hint="eastAsia" w:asciiTheme="minorEastAsia" w:hAnsiTheme="minorEastAsia" w:cstheme="minorEastAsia"/>
                <w:color w:val="auto"/>
                <w:kern w:val="0"/>
                <w:sz w:val="24"/>
                <w:highlight w:val="none"/>
                <w:lang w:val="en-US" w:eastAsia="zh-CN"/>
              </w:rPr>
              <w:t>针对</w:t>
            </w:r>
            <w:r>
              <w:rPr>
                <w:rFonts w:hint="eastAsia" w:asciiTheme="minorEastAsia" w:hAnsiTheme="minorEastAsia" w:cstheme="minorEastAsia"/>
                <w:color w:val="auto"/>
                <w:kern w:val="0"/>
                <w:sz w:val="24"/>
                <w:highlight w:val="none"/>
              </w:rPr>
              <w:t>本项目实际情况对应急响应的承诺，由磋商小组进行评定：</w:t>
            </w:r>
            <w:r>
              <w:rPr>
                <w:rFonts w:hint="eastAsia" w:ascii="宋体" w:hAnsi="宋体" w:eastAsia="宋体" w:cs="宋体"/>
                <w:bCs/>
                <w:color w:val="auto"/>
                <w:sz w:val="24"/>
                <w:szCs w:val="24"/>
                <w:highlight w:val="none"/>
              </w:rPr>
              <w:t>①</w:t>
            </w:r>
            <w:r>
              <w:rPr>
                <w:rFonts w:hint="eastAsia" w:asciiTheme="minorEastAsia" w:hAnsiTheme="minorEastAsia" w:cstheme="minorEastAsia"/>
                <w:color w:val="auto"/>
                <w:kern w:val="0"/>
                <w:sz w:val="24"/>
                <w:highlight w:val="none"/>
                <w:lang w:val="en-US" w:eastAsia="zh-CN"/>
              </w:rPr>
              <w:t>供应商承诺</w:t>
            </w:r>
            <w:r>
              <w:rPr>
                <w:rFonts w:hint="eastAsia" w:asciiTheme="minorEastAsia" w:hAnsiTheme="minorEastAsia" w:cstheme="minorEastAsia"/>
                <w:color w:val="auto"/>
                <w:kern w:val="0"/>
                <w:sz w:val="24"/>
                <w:highlight w:val="none"/>
              </w:rPr>
              <w:t>响应时间≤30分钟的得3分；</w:t>
            </w:r>
            <w:r>
              <w:rPr>
                <w:rFonts w:hint="eastAsia" w:ascii="宋体" w:hAnsi="宋体" w:eastAsia="宋体" w:cs="宋体"/>
                <w:bCs/>
                <w:color w:val="auto"/>
                <w:sz w:val="24"/>
                <w:szCs w:val="24"/>
                <w:highlight w:val="none"/>
              </w:rPr>
              <w:t>②</w:t>
            </w:r>
            <w:r>
              <w:rPr>
                <w:rFonts w:hint="eastAsia" w:asciiTheme="minorEastAsia" w:hAnsiTheme="minorEastAsia" w:cstheme="minorEastAsia"/>
                <w:color w:val="auto"/>
                <w:kern w:val="0"/>
                <w:sz w:val="24"/>
                <w:highlight w:val="none"/>
              </w:rPr>
              <w:t>30分钟＜响应时间≤2小时的得2分；</w:t>
            </w:r>
            <w:r>
              <w:rPr>
                <w:rFonts w:hint="eastAsia" w:ascii="宋体" w:hAnsi="宋体" w:eastAsia="宋体" w:cs="宋体"/>
                <w:bCs/>
                <w:color w:val="auto"/>
                <w:sz w:val="24"/>
                <w:szCs w:val="24"/>
                <w:highlight w:val="none"/>
              </w:rPr>
              <w:t>③</w:t>
            </w:r>
            <w:r>
              <w:rPr>
                <w:rFonts w:hint="eastAsia" w:asciiTheme="minorEastAsia" w:hAnsiTheme="minorEastAsia" w:cstheme="minorEastAsia"/>
                <w:color w:val="auto"/>
                <w:kern w:val="0"/>
                <w:sz w:val="24"/>
                <w:highlight w:val="none"/>
              </w:rPr>
              <w:t>2小时＜响应时间≤</w:t>
            </w:r>
            <w:r>
              <w:rPr>
                <w:rFonts w:hint="eastAsia" w:asciiTheme="minorEastAsia" w:hAnsiTheme="minorEastAsia" w:cstheme="minorEastAsia"/>
                <w:color w:val="auto"/>
                <w:kern w:val="0"/>
                <w:sz w:val="24"/>
                <w:highlight w:val="none"/>
                <w:lang w:val="en-US" w:eastAsia="zh-CN"/>
              </w:rPr>
              <w:t>5</w:t>
            </w:r>
            <w:r>
              <w:rPr>
                <w:rFonts w:hint="eastAsia" w:asciiTheme="minorEastAsia" w:hAnsiTheme="minorEastAsia" w:cstheme="minorEastAsia"/>
                <w:color w:val="auto"/>
                <w:kern w:val="0"/>
                <w:sz w:val="24"/>
                <w:highlight w:val="none"/>
              </w:rPr>
              <w:t>小时的得1分，未提供的不得分。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heme="minorEastAsia" w:hAnsiTheme="minorEastAsia" w:cstheme="minorEastAsia"/>
                <w:color w:val="auto"/>
                <w:sz w:val="24"/>
                <w:highlight w:val="none"/>
              </w:rPr>
            </w:pPr>
            <w:r>
              <w:rPr>
                <w:rFonts w:hint="eastAsia" w:asciiTheme="minorEastAsia" w:hAnsiTheme="minorEastAsia" w:cstheme="minorEastAsia"/>
                <w:b/>
                <w:bCs/>
                <w:color w:val="auto"/>
                <w:kern w:val="0"/>
                <w:sz w:val="24"/>
                <w:highlight w:val="none"/>
              </w:rPr>
              <w:t>注：须提供承诺函并加盖供应商公章，格式自拟，未提供承诺</w:t>
            </w:r>
            <w:r>
              <w:rPr>
                <w:rFonts w:hint="eastAsia" w:asciiTheme="minorEastAsia" w:hAnsiTheme="minorEastAsia" w:cstheme="minorEastAsia"/>
                <w:b/>
                <w:bCs/>
                <w:color w:val="auto"/>
                <w:kern w:val="0"/>
                <w:sz w:val="24"/>
                <w:highlight w:val="none"/>
                <w:lang w:eastAsia="zh-CN"/>
              </w:rPr>
              <w:t>的</w:t>
            </w:r>
            <w:r>
              <w:rPr>
                <w:rFonts w:hint="eastAsia" w:asciiTheme="minorEastAsia" w:hAnsiTheme="minorEastAsia" w:cstheme="minorEastAsia"/>
                <w:b/>
                <w:bCs/>
                <w:color w:val="auto"/>
                <w:kern w:val="0"/>
                <w:sz w:val="24"/>
                <w:highlight w:val="none"/>
              </w:rPr>
              <w:t>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048" w:type="dxa"/>
            <w:tcBorders>
              <w:top w:val="outset" w:color="auto" w:sz="6" w:space="0"/>
              <w:left w:val="outset" w:color="auto" w:sz="6" w:space="0"/>
              <w:bottom w:val="outset" w:color="auto" w:sz="6" w:space="0"/>
              <w:right w:val="outset" w:color="auto" w:sz="6" w:space="0"/>
            </w:tcBorders>
            <w:shd w:val="clear" w:color="auto" w:fill="auto"/>
            <w:vAlign w:val="top"/>
          </w:tcPr>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bidi="ar-SA"/>
              </w:rPr>
              <w:t>4</w:t>
            </w:r>
            <w:r>
              <w:rPr>
                <w:rFonts w:hint="eastAsia" w:asciiTheme="minorEastAsia" w:hAnsiTheme="minorEastAsia" w:eastAsiaTheme="minorEastAsia" w:cstheme="minorEastAsia"/>
                <w:color w:val="auto"/>
                <w:kern w:val="0"/>
                <w:sz w:val="24"/>
                <w:szCs w:val="24"/>
                <w:highlight w:val="none"/>
                <w:lang w:val="en-US" w:eastAsia="zh-CN" w:bidi="ar-SA"/>
              </w:rPr>
              <w:t>.特色服务</w:t>
            </w:r>
          </w:p>
        </w:tc>
        <w:tc>
          <w:tcPr>
            <w:tcW w:w="603" w:type="dxa"/>
            <w:tcBorders>
              <w:top w:val="outset" w:color="auto" w:sz="6" w:space="0"/>
              <w:left w:val="outset" w:color="auto" w:sz="6" w:space="0"/>
              <w:bottom w:val="outset" w:color="auto" w:sz="6" w:space="0"/>
              <w:right w:val="outset" w:color="auto" w:sz="6" w:space="0"/>
            </w:tcBorders>
            <w:shd w:val="clear" w:color="auto" w:fill="auto"/>
            <w:vAlign w:val="top"/>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w:t>
            </w:r>
          </w:p>
        </w:tc>
        <w:tc>
          <w:tcPr>
            <w:tcW w:w="7156" w:type="dxa"/>
            <w:tcBorders>
              <w:top w:val="outset" w:color="auto" w:sz="6" w:space="0"/>
              <w:left w:val="outset" w:color="auto" w:sz="6" w:space="0"/>
              <w:bottom w:val="outset" w:color="auto" w:sz="6" w:space="0"/>
              <w:right w:val="outset" w:color="auto" w:sz="6" w:space="0"/>
            </w:tcBorders>
            <w:shd w:val="clear" w:color="auto" w:fill="auto"/>
            <w:vAlign w:val="top"/>
          </w:tcPr>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highlight w:val="none"/>
              </w:rPr>
              <w:t>根据供应商</w:t>
            </w:r>
            <w:r>
              <w:rPr>
                <w:rFonts w:hint="eastAsia" w:asciiTheme="minorEastAsia" w:hAnsiTheme="minorEastAsia" w:cstheme="minorEastAsia"/>
                <w:color w:val="auto"/>
                <w:kern w:val="0"/>
                <w:sz w:val="24"/>
                <w:highlight w:val="none"/>
                <w:lang w:val="en-US" w:eastAsia="zh-CN"/>
              </w:rPr>
              <w:t>针对</w:t>
            </w:r>
            <w:r>
              <w:rPr>
                <w:rFonts w:hint="eastAsia" w:asciiTheme="minorEastAsia" w:hAnsiTheme="minorEastAsia" w:cstheme="minorEastAsia"/>
                <w:color w:val="auto"/>
                <w:kern w:val="0"/>
                <w:sz w:val="24"/>
                <w:highlight w:val="none"/>
              </w:rPr>
              <w:t>本项目</w:t>
            </w:r>
            <w:r>
              <w:rPr>
                <w:rFonts w:hint="eastAsia" w:asciiTheme="minorEastAsia" w:hAnsiTheme="minorEastAsia" w:cstheme="minorEastAsia"/>
                <w:color w:val="auto"/>
                <w:kern w:val="0"/>
                <w:sz w:val="24"/>
                <w:highlight w:val="none"/>
                <w:lang w:val="en-US" w:eastAsia="zh-CN"/>
              </w:rPr>
              <w:t>提供</w:t>
            </w:r>
            <w:r>
              <w:rPr>
                <w:rFonts w:hint="eastAsia" w:asciiTheme="minorEastAsia" w:hAnsiTheme="minorEastAsia" w:eastAsiaTheme="minorEastAsia" w:cstheme="minorEastAsia"/>
                <w:color w:val="auto"/>
                <w:kern w:val="0"/>
                <w:sz w:val="24"/>
                <w:szCs w:val="24"/>
                <w:highlight w:val="none"/>
                <w:lang w:val="en-US" w:eastAsia="zh-CN" w:bidi="ar-SA"/>
              </w:rPr>
              <w:t>的特色服务方案情况，由磋商小组进行</w:t>
            </w:r>
            <w:r>
              <w:rPr>
                <w:rFonts w:hint="eastAsia" w:ascii="宋体" w:hAnsi="宋体" w:eastAsia="宋体" w:cs="宋体"/>
                <w:bCs/>
                <w:color w:val="auto"/>
                <w:sz w:val="24"/>
                <w:szCs w:val="24"/>
                <w:highlight w:val="none"/>
              </w:rPr>
              <w:t>评审</w:t>
            </w:r>
            <w:r>
              <w:rPr>
                <w:rFonts w:hint="eastAsia" w:asciiTheme="minorEastAsia" w:hAnsiTheme="minorEastAsia" w:eastAsiaTheme="minorEastAsia" w:cstheme="minorEastAsia"/>
                <w:color w:val="auto"/>
                <w:kern w:val="0"/>
                <w:sz w:val="24"/>
                <w:szCs w:val="24"/>
                <w:highlight w:val="none"/>
                <w:lang w:val="en-US" w:eastAsia="zh-CN" w:bidi="ar-SA"/>
              </w:rPr>
              <w:t>：</w:t>
            </w:r>
            <w:r>
              <w:rPr>
                <w:rFonts w:hint="eastAsia" w:ascii="宋体" w:hAnsi="宋体" w:eastAsia="宋体" w:cs="宋体"/>
                <w:bCs/>
                <w:color w:val="auto"/>
                <w:sz w:val="24"/>
                <w:szCs w:val="24"/>
                <w:highlight w:val="none"/>
              </w:rPr>
              <w:t>①</w:t>
            </w:r>
            <w:r>
              <w:rPr>
                <w:rFonts w:hint="eastAsia" w:asciiTheme="minorEastAsia" w:hAnsiTheme="minorEastAsia" w:eastAsiaTheme="minorEastAsia" w:cstheme="minorEastAsia"/>
                <w:color w:val="auto"/>
                <w:kern w:val="0"/>
                <w:sz w:val="24"/>
                <w:szCs w:val="24"/>
                <w:highlight w:val="none"/>
                <w:lang w:val="en-US" w:eastAsia="zh-CN" w:bidi="ar-SA"/>
              </w:rPr>
              <w:t>提供的方案完整、详细、具体、可行性强的得1分；</w:t>
            </w:r>
            <w:r>
              <w:rPr>
                <w:rFonts w:hint="eastAsia" w:ascii="宋体" w:hAnsi="宋体" w:eastAsia="宋体" w:cs="宋体"/>
                <w:bCs/>
                <w:color w:val="auto"/>
                <w:sz w:val="24"/>
                <w:szCs w:val="24"/>
                <w:highlight w:val="none"/>
              </w:rPr>
              <w:t>②</w:t>
            </w:r>
            <w:r>
              <w:rPr>
                <w:rFonts w:hint="eastAsia" w:asciiTheme="minorEastAsia" w:hAnsiTheme="minorEastAsia" w:eastAsiaTheme="minorEastAsia" w:cstheme="minorEastAsia"/>
                <w:color w:val="auto"/>
                <w:kern w:val="0"/>
                <w:sz w:val="24"/>
                <w:szCs w:val="24"/>
                <w:highlight w:val="none"/>
                <w:lang w:val="en-US" w:eastAsia="zh-CN" w:bidi="ar-SA"/>
              </w:rPr>
              <w:t>提供的方案不够周全详细、具体、完善、可行性较强的得0.5分；</w:t>
            </w:r>
            <w:r>
              <w:rPr>
                <w:rFonts w:hint="eastAsia" w:ascii="宋体" w:hAnsi="宋体" w:eastAsia="宋体" w:cs="宋体"/>
                <w:bCs/>
                <w:color w:val="auto"/>
                <w:sz w:val="24"/>
                <w:szCs w:val="24"/>
                <w:highlight w:val="none"/>
              </w:rPr>
              <w:t>③</w:t>
            </w:r>
            <w:r>
              <w:rPr>
                <w:rFonts w:hint="eastAsia" w:asciiTheme="minorEastAsia" w:hAnsiTheme="minorEastAsia" w:eastAsiaTheme="minorEastAsia" w:cstheme="minorEastAsia"/>
                <w:color w:val="auto"/>
                <w:kern w:val="0"/>
                <w:sz w:val="24"/>
                <w:szCs w:val="24"/>
                <w:highlight w:val="none"/>
                <w:lang w:val="en-US" w:eastAsia="zh-CN" w:bidi="ar-SA"/>
              </w:rPr>
              <w:t>未提供的不得分。</w:t>
            </w:r>
          </w:p>
        </w:tc>
      </w:tr>
    </w:tbl>
    <w:p>
      <w:pPr>
        <w:pStyle w:val="25"/>
        <w:rPr>
          <w:rFonts w:hint="default" w:ascii="宋体" w:hAnsi="宋体" w:eastAsia="宋体" w:cs="宋体"/>
          <w:sz w:val="24"/>
          <w:szCs w:val="24"/>
          <w:highlight w:val="none"/>
        </w:rPr>
      </w:pP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（4）成交候选供应商排列规则顺序和并列相同时的处理约定如下：</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a.成交候选供应商</w:t>
      </w:r>
      <w:r>
        <w:rPr>
          <w:rFonts w:hint="eastAsia" w:ascii="宋体" w:hAnsi="宋体" w:eastAsia="宋体" w:cs="宋体"/>
          <w:sz w:val="24"/>
          <w:szCs w:val="24"/>
          <w:highlight w:val="none"/>
          <w:lang w:eastAsia="zh-CN"/>
        </w:rPr>
        <w:t>参照</w:t>
      </w:r>
      <w:r>
        <w:rPr>
          <w:rFonts w:ascii="宋体" w:hAnsi="宋体" w:eastAsia="宋体" w:cs="宋体"/>
          <w:sz w:val="24"/>
          <w:szCs w:val="24"/>
          <w:highlight w:val="none"/>
        </w:rPr>
        <w:t>综合评审总得分（FA）由高到低顺序排列推荐。</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b.综合评审总得分（FA）相同的，</w:t>
      </w:r>
      <w:r>
        <w:rPr>
          <w:rFonts w:hint="eastAsia" w:ascii="宋体" w:hAnsi="宋体" w:eastAsia="宋体" w:cs="宋体"/>
          <w:sz w:val="24"/>
          <w:szCs w:val="24"/>
          <w:highlight w:val="none"/>
          <w:lang w:eastAsia="zh-CN"/>
        </w:rPr>
        <w:t>参照</w:t>
      </w:r>
      <w:r>
        <w:rPr>
          <w:rFonts w:ascii="宋体" w:hAnsi="宋体" w:eastAsia="宋体" w:cs="宋体"/>
          <w:sz w:val="24"/>
          <w:szCs w:val="24"/>
          <w:highlight w:val="none"/>
        </w:rPr>
        <w:t>经评审最后磋商报价（即经政府采购优惠政策进行价格扣除后的最后报价）由低到高顺序推荐。</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c.综合评审总得分（FA）且经评审最后磋商报价（即经政府采购优惠政策进行价格扣除后的最后报价）仍然相同的，按照技术指标优劣顺序推荐。</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d.经前述顺序处理仍然并列相同的，则通过随机抽取方式确定优先顺序推荐。</w:t>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四、评审报告</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4.1磋商小组完成评审后，应当编写评审报告并提交给采购人。</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4.2评审报告应当包括以下主要内容：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（一）邀请供应商参加采购活动的具体方式和相关情况；</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（二）响应文件开启日期和地点；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（三）获取磋商文件的供应商名单和磋商小组成员名单；</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（四）评审情况记录和说明，包括对供应商的资格审查情况、供应商响应文件评审情况、磋商情况、报价情况等；</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（五）提出的成交候选供应商的排序名单及理由。</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五、其他规定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5.1其他规定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5.1.1评审应全程保密且不得透露给任一供应商或与评审工作无关的人员。</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5.1.2评审将进行全程实时录音录像，录音录像资料随采购文件一并存档。</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5.1.3若供应商有任何试图干扰具体评审事务，影响磋商小组独立履行职责的行为，其响应无效且不予退还磋商保证金或通过保函进行索赔。情节严重的，由财政部门列入不良行为记录。</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5.1.4根据采购项目的特点和需要，需要加以详细说明的其他磋商程序规定、要求等内容：无</w:t>
      </w:r>
    </w:p>
    <w:p>
      <w:pPr>
        <w:rPr>
          <w:rFonts w:ascii="宋体" w:hAnsi="宋体" w:eastAsia="宋体" w:cs="宋体"/>
          <w:b/>
          <w:sz w:val="24"/>
          <w:szCs w:val="24"/>
          <w:highlight w:val="none"/>
        </w:rPr>
      </w:pPr>
      <w:r>
        <w:rPr>
          <w:rFonts w:ascii="宋体" w:hAnsi="宋体" w:eastAsia="宋体" w:cs="宋体"/>
          <w:b/>
          <w:sz w:val="24"/>
          <w:szCs w:val="24"/>
          <w:highlight w:val="none"/>
        </w:rPr>
        <w:br w:type="page"/>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第2节 竞争性磋商须知</w:t>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一、总则</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1.适用范围：</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1.1适用于磋商文件载明项目的采购活动（以下简称：“本次采购活动”）。</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2.定义及要求：</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2.1“采购标的”指磋商文件载明的需要采购的货物、服务、工程。</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2.2“采购人”指本次采购项目的买方、或</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lang w:val="en-US" w:eastAsia="zh-CN"/>
        </w:rPr>
        <w:t>方</w:t>
      </w:r>
      <w:r>
        <w:rPr>
          <w:rFonts w:ascii="宋体" w:hAnsi="宋体" w:eastAsia="宋体" w:cs="宋体"/>
          <w:sz w:val="24"/>
          <w:szCs w:val="24"/>
          <w:highlight w:val="none"/>
        </w:rPr>
        <w:t>、或甲方，具体见磋商文件第一章；“采购代理机构”系指接受采购人委托，组织开展竞争性磋商采购活动的代理机构，具体见磋商文件第一章。</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2.3“潜在供应商”按照磋商文件第一章规定进行获取文件，且有意向参加本项目响应磋商的供应商。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2.4“供应商”指按照磋商文件第一章规定进行获取文件，且已经提交响应文件的法人或其他组织或自然人。只有适合自然人参与和承接的采购项目，供应商才可以是自然人。</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2.5“单位负责人”指单位法定代表人（供应商为法人的）或法律、法规规定代表单位行使职权的主要负责人（供应商为其他组织的）。</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3.合格的供应商：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3.1一般规定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3.1.1供应商除了应遵守政府采购法及实施条例、政府采购非招标采购方式管理办法及财政部、福建省财政厅有关政府采购文件的规定外，还应遵守有关法律、法规和规章的强制性规定。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3.1.2为采购项目提供整体设计、规范编制或项目管理、监理、检测等服务的供应商，不得再参加该采购项目除整体设计、规范编制和项目管理、监理、检测等服务之外的其他采购活动。</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3.1.3列入失信被执行人、重大税收违法案件当事人名单、政府采购严重违法失信行为记录名单及其他不符合《中华人民共和国政府采购法》第二十二条规定条件的供应商，不得参加采购活动。</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供应商有责任检查自身情况，在响应文件中对是否违反以上一般规定做出如实声明，否则其响应文件将被否决。</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3.2特别规定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3.2.1供应商的资格要求：详见竞争性磋商须知前附表第1项。</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3.2.2是否接受联合体形式的响应磋商：详见竞争性磋商须知前附表第2项。若接受联合体形式且供应商为联合体，则联合体各方除了应遵守本章第3.1条规定外，还应遵守下列规定：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（1）联合体各方应提交联合体协议，联合体协议应符合磋商文件规定。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（2）联合体各方不得再单独参加或与其他供应商另外组成联合体参加同一合同项下的响应磋商。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（3）联合体各方应共同与采购人签订采购合同，就采购合同约定的事项对采购人承担连带责任。</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（5）联合体一方放弃成交的，视为联合体整体放弃成交，联合体各方承担连带责任。</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（6）如本项目不接受联合体报价而供应商为联合体的，或者本项目接受联合体报价但供应商组成的联合体不符合本章第3.2条规定的，其报价无效。</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3.2.3若接受联合体形式，单位负责人为同一人或者存在直接控股、管理关系的不同供应商可以组成一个联合体，以一个供应商的身份参加采购活动。若不接受联合体形式，则单位负责人为同一人或者存在直接控股、管理关系的不同供应商，不得参加同一合同项下的采购活动。</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4.参与竞争性磋商费用：</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4.1除法律法规或采购文件另有规定之外，供应商应自行承担其准备与参加竞争性磋商所涉及的一切费用。</w:t>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二、竞争性磋商文件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5.竞争性磋商文件的组成：</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5.1竞争性磋商文件由下述部分组成：</w:t>
      </w:r>
    </w:p>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第一章 采购公告（或采购邀请书）</w:t>
      </w:r>
    </w:p>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第二章 竞争性磋商须知</w:t>
      </w:r>
    </w:p>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第三章 采购内容及要求</w:t>
      </w:r>
    </w:p>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第四章 合同主要条款及格式</w:t>
      </w:r>
    </w:p>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highlight w:val="none"/>
        </w:rPr>
      </w:pPr>
      <w:r>
        <w:rPr>
          <w:rFonts w:ascii="宋体" w:hAnsi="宋体" w:eastAsia="宋体" w:cs="宋体"/>
          <w:sz w:val="24"/>
          <w:szCs w:val="24"/>
          <w:highlight w:val="none"/>
        </w:rPr>
        <w:t>第五章 首次响应文件格式</w:t>
      </w:r>
    </w:p>
    <w:p>
      <w:pPr>
        <w:pStyle w:val="2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5.2除上述内容以外，采购人、采购代理机构或者磋商小组在采购过程期间对磋商文件所作的澄清、修改或补充，均构成磋商文件的组成部分，对采购人和供应商具有约束力。</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6.竞争性磋商文件的澄清、补充、修改及现场考察等：</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6.3采购人、采购代理机构可以视采购项目的具体情况，组织供应商进行现场考察或召开磋商前答疑会，是否组织现场考察或召开磋商前答疑会详见竞争性磋商须知前附表第3项。</w:t>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三、响应文件编制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7.应标要求</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7.2供应商代表在同一个合同项下只能接受一个供应商的委托参加响应磋商，否则其响应文件将被否决。</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7.3供应商应仔细阅读磋商文件的所有内容和要求，按磋商文件的规定提供响应文件，并对其所提供的全部资料、承诺和声明的真实性、合法性和准确性负责。</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7.4除非竞争性磋商须知前附表另有规定外，供应商提供的响应文件应使用中文文本，若有不同文字文本，以中文文本为准。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7.6除非竞争性磋商须知前附表另有规定外，供应商承诺的报价应以人民币进行报价，合同实施结算时亦以人民币支付；所有计量均采用中华人民共和国法定计量单位。</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8.首次响应文件的组成：</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8.1首次响应文件包括但不限于下列部分：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（1）响应函</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（2）报价一览表（含详细报价书）</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（3）资格证明文件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（4）磋商保证金凭证</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（5）技术和商务偏离表</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（6）相关技术、商务、服务响应承诺及资料</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（7）供应商提交的其他资料</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（8）要求作为响应文件组成部分的其他内容（若有）</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9.响应文件有效期：</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9.1响应文件有效期见竞争性磋商须知前附表第4项，响应文件承诺的有效期不得少于磋商文件载明的有效期，否则其响应文件将被否决。</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10.磋商保证金：</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10.1供应商应在参加竞争性磋商之前按竞争性磋商须知前附表第5项规定的金额、形式等要求提交磋商保证金。磋商文件若接受联合体形式且供应商为联合体的，则可以由联合体中的牵头方提交磋商保证金，其提交的磋商保证金对联合体各方均具有约束力。</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10.1.2供应商以电子保函形式提交磋商保证金的，在首次响应文件递交截止时间前将电子保函文件放入电子响应文件中，否则视为未提交磋商保证金。保函的有效期应等于或长于电子响应文件承诺的有效期，否则其响应文件将被否决。</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10.1.3其他形式： 无</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10.2磋商保证金为响应文件的重要组成部分之一。磋商保证金用于保护本次磋商活动免受供应商的违约或失信行为而引起的风险。未按规定提交磋商保证金的，其响应文件将被否决。</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10.3磋商保证金退还：</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10.4如果供应商发生以下任何一种情况时，其磋商保证金将被不予退还或通过保函进行索赔：</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(1)供应商在提交响应文件截止时间后撤回响应文件的；</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(2)供应商在响应文件中提供虚假材料的；</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(3)除因不可抗力或磋商文件认可的情形以外，成交人不与采购人签订合同的；</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(4)供应商与采购人、其他供应商或者采购代理机构恶意串通的；</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(5)供应商在提交最后报价后要求退出磋商的；</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(6)供应商假借以他人名义参加磋商或者以其他方式弄虚作假，骗取成交；</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(7)国家法律法规以及磋商文件中规定的其他磋商保证金不予退还的情形。</w:t>
      </w:r>
    </w:p>
    <w:p>
      <w:pPr>
        <w:pStyle w:val="25"/>
        <w:keepNext w:val="0"/>
        <w:keepLines w:val="0"/>
        <w:pageBreakBefore w:val="0"/>
        <w:kinsoku/>
        <w:overflowPunct/>
        <w:topLinePunct w:val="0"/>
        <w:autoSpaceDE/>
        <w:autoSpaceDN/>
        <w:bidi w:val="0"/>
        <w:adjustRightInd/>
        <w:snapToGrid/>
        <w:spacing w:line="360" w:lineRule="auto"/>
        <w:ind w:firstLine="480"/>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上述不予退还磋商保证金的情况不能抵偿给采购人或采购代理机构造成损失的，供应商还要承担赔偿责任。</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11.响应文件基本编制要求：</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11.2响应文件应由供应商代表签字并加盖公章。供应商代表如果不是竞争性磋商须知中定义的“单位负责人”，则其响应文件中还必须提供“单位负责人授权书”。</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11.3响应文件应尽量避免涂改、行间插字或删除。如果出现上述情况，改动之处应加盖供应商单位公章或由供应商代表签字确认。</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11.4供应商应提交证明其拟提供货物、服务或工程符合磋商文件要求的技术和商务响应文件，该文件可以是文字资料、图纸和数据，并对拟提供的货物、服务或工程的主要内容进行详细描述。</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12.纸质响应文件的密封、标识、签署和提交：</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四、竞争性磋商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13.评审和磋商基本准则</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13.1对所有供应商的评审和磋商，都采用相同的程序和标准。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13.2磋商及评审过程将严格按照磋商文件的要求和条件进行，磋商小组将根据供应商的响应文件，按磋商文件规定的磋商程序及评审的标准和方法进行评审、磋商，并推荐成交候选人。</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14.磋商程序以及评审标准和方法</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14.1采购人将根据项目的特点依法组建磋商小组。磋商小组将根据磋商文件规定的程序、评审标准和方法等内容对供应商进行评审、磋商。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ascii="宋体" w:hAnsi="宋体" w:eastAsia="宋体" w:cs="宋体"/>
          <w:sz w:val="24"/>
          <w:szCs w:val="24"/>
          <w:highlight w:val="none"/>
        </w:rPr>
      </w:pPr>
      <w:r>
        <w:rPr>
          <w:rFonts w:ascii="宋体" w:hAnsi="宋体" w:eastAsia="宋体" w:cs="宋体"/>
          <w:sz w:val="24"/>
          <w:szCs w:val="24"/>
          <w:highlight w:val="none"/>
        </w:rPr>
        <w:t>14.2.1供应商有下列情况之一者，其提交的响应文件将被视为未实质性响应磋商文件要求，磋商小组将否决其响应文件，按无效处理：</w:t>
      </w:r>
    </w:p>
    <w:p>
      <w:pPr>
        <w:rPr>
          <w:rFonts w:hint="default" w:ascii="宋体" w:hAnsi="宋体" w:eastAsia="宋体" w:cs="宋体"/>
          <w:sz w:val="24"/>
          <w:szCs w:val="24"/>
          <w:highlight w:val="none"/>
        </w:rPr>
      </w:pPr>
      <w:r>
        <w:rPr>
          <w:rFonts w:ascii="宋体" w:hAnsi="宋体" w:eastAsia="宋体" w:cs="宋体"/>
          <w:sz w:val="24"/>
          <w:szCs w:val="24"/>
          <w:highlight w:val="none"/>
        </w:rPr>
        <w:t>采购包1：</w:t>
      </w:r>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8"/>
        <w:gridCol w:w="1306"/>
        <w:gridCol w:w="68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1"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序号</w:t>
            </w:r>
          </w:p>
        </w:tc>
        <w:tc>
          <w:tcPr>
            <w:tcW w:w="730"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符合审查要求概况</w:t>
            </w:r>
          </w:p>
        </w:tc>
        <w:tc>
          <w:tcPr>
            <w:tcW w:w="3829"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1"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1</w:t>
            </w:r>
          </w:p>
        </w:tc>
        <w:tc>
          <w:tcPr>
            <w:tcW w:w="730"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情形1</w:t>
            </w:r>
          </w:p>
        </w:tc>
        <w:tc>
          <w:tcPr>
            <w:tcW w:w="3829" w:type="pct"/>
          </w:tcPr>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1"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2</w:t>
            </w:r>
          </w:p>
        </w:tc>
        <w:tc>
          <w:tcPr>
            <w:tcW w:w="730"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情形2</w:t>
            </w:r>
          </w:p>
        </w:tc>
        <w:tc>
          <w:tcPr>
            <w:tcW w:w="3829" w:type="pct"/>
          </w:tcPr>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1"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3</w:t>
            </w:r>
          </w:p>
        </w:tc>
        <w:tc>
          <w:tcPr>
            <w:tcW w:w="730"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情形3</w:t>
            </w:r>
          </w:p>
        </w:tc>
        <w:tc>
          <w:tcPr>
            <w:tcW w:w="3829" w:type="pct"/>
          </w:tcPr>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1"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4</w:t>
            </w:r>
          </w:p>
        </w:tc>
        <w:tc>
          <w:tcPr>
            <w:tcW w:w="730"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情形4</w:t>
            </w:r>
          </w:p>
        </w:tc>
        <w:tc>
          <w:tcPr>
            <w:tcW w:w="3829" w:type="pct"/>
          </w:tcPr>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1"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5</w:t>
            </w:r>
          </w:p>
        </w:tc>
        <w:tc>
          <w:tcPr>
            <w:tcW w:w="730"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情形5</w:t>
            </w:r>
          </w:p>
        </w:tc>
        <w:tc>
          <w:tcPr>
            <w:tcW w:w="3829" w:type="pct"/>
          </w:tcPr>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1"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6</w:t>
            </w:r>
          </w:p>
        </w:tc>
        <w:tc>
          <w:tcPr>
            <w:tcW w:w="730"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情形6</w:t>
            </w:r>
          </w:p>
        </w:tc>
        <w:tc>
          <w:tcPr>
            <w:tcW w:w="3829" w:type="pct"/>
          </w:tcPr>
          <w:p>
            <w:pPr>
              <w:pStyle w:val="25"/>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不符合磋商文件中规定的其它实质性条款（比如：报价超过了磋商文件规定的最高限价）</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0" w:hRule="atLeast"/>
        </w:trPr>
        <w:tc>
          <w:tcPr>
            <w:tcW w:w="441" w:type="pct"/>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sz w:val="24"/>
                <w:highlight w:val="none"/>
              </w:rPr>
            </w:pPr>
            <w:r>
              <w:rPr>
                <w:rFonts w:hint="eastAsia" w:ascii="宋体" w:hAnsi="宋体" w:eastAsia="宋体" w:cs="宋体"/>
                <w:kern w:val="0"/>
                <w:sz w:val="24"/>
                <w:highlight w:val="none"/>
              </w:rPr>
              <w:t>7</w:t>
            </w:r>
          </w:p>
        </w:tc>
        <w:tc>
          <w:tcPr>
            <w:tcW w:w="730" w:type="pct"/>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sz w:val="24"/>
                <w:highlight w:val="none"/>
              </w:rPr>
            </w:pPr>
            <w:r>
              <w:rPr>
                <w:rFonts w:hint="eastAsia" w:ascii="宋体" w:hAnsi="宋体" w:eastAsia="宋体" w:cs="宋体"/>
                <w:kern w:val="0"/>
                <w:sz w:val="24"/>
                <w:highlight w:val="none"/>
              </w:rPr>
              <w:t>情形7</w:t>
            </w:r>
          </w:p>
        </w:tc>
        <w:tc>
          <w:tcPr>
            <w:tcW w:w="3829" w:type="pct"/>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sz w:val="24"/>
                <w:highlight w:val="none"/>
              </w:rPr>
            </w:pPr>
            <w:r>
              <w:rPr>
                <w:rFonts w:hint="eastAsia" w:ascii="宋体" w:hAnsi="宋体" w:eastAsia="宋体" w:cs="宋体"/>
                <w:sz w:val="24"/>
                <w:highlight w:val="none"/>
              </w:rPr>
              <w:t>不满足磋商文件“第三章 采购内容及要求 “二、技术要求” 中标注“</w:t>
            </w:r>
            <w:r>
              <w:rPr>
                <w:rFonts w:hint="eastAsia" w:ascii="宋体" w:hAnsi="宋体" w:eastAsia="宋体" w:cs="宋体"/>
                <w:kern w:val="0"/>
                <w:sz w:val="24"/>
                <w:highlight w:val="none"/>
              </w:rPr>
              <w:t>★</w:t>
            </w:r>
            <w:r>
              <w:rPr>
                <w:rFonts w:hint="eastAsia" w:ascii="宋体" w:hAnsi="宋体" w:eastAsia="宋体" w:cs="宋体"/>
                <w:sz w:val="24"/>
                <w:highlight w:val="none"/>
              </w:rPr>
              <w:t>”要求的。</w:t>
            </w:r>
          </w:p>
        </w:tc>
      </w:tr>
    </w:tbl>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14.2.2其他情形</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采购包1：</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技术符合性：</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68"/>
        <w:gridCol w:w="74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b/>
                <w:bCs/>
                <w:sz w:val="24"/>
                <w:highlight w:val="none"/>
              </w:rPr>
            </w:pPr>
            <w:r>
              <w:rPr>
                <w:rFonts w:hint="eastAsia" w:ascii="宋体" w:hAnsi="宋体" w:eastAsia="宋体" w:cs="宋体"/>
                <w:b/>
                <w:bCs/>
                <w:kern w:val="0"/>
                <w:sz w:val="24"/>
                <w:highlight w:val="none"/>
              </w:rPr>
              <w:t>情形</w:t>
            </w:r>
          </w:p>
        </w:tc>
        <w:tc>
          <w:tcPr>
            <w:tcW w:w="4125"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b/>
                <w:bCs/>
                <w:sz w:val="24"/>
                <w:highlight w:val="none"/>
              </w:rPr>
            </w:pPr>
            <w:r>
              <w:rPr>
                <w:rFonts w:hint="eastAsia" w:ascii="宋体" w:hAnsi="宋体" w:eastAsia="宋体" w:cs="宋体"/>
                <w:b/>
                <w:bCs/>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sz w:val="24"/>
                <w:highlight w:val="none"/>
              </w:rPr>
            </w:pPr>
            <w:r>
              <w:rPr>
                <w:rFonts w:hint="eastAsia" w:ascii="宋体" w:hAnsi="宋体" w:eastAsia="宋体" w:cs="宋体"/>
                <w:kern w:val="0"/>
                <w:sz w:val="24"/>
                <w:highlight w:val="none"/>
              </w:rPr>
              <w:t>其他情形</w:t>
            </w:r>
          </w:p>
        </w:tc>
        <w:tc>
          <w:tcPr>
            <w:tcW w:w="4125"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sz w:val="24"/>
                <w:highlight w:val="none"/>
              </w:rPr>
            </w:pPr>
            <w:r>
              <w:rPr>
                <w:rFonts w:hint="eastAsia" w:ascii="宋体" w:hAnsi="宋体" w:eastAsia="宋体" w:cs="宋体"/>
                <w:kern w:val="0"/>
                <w:sz w:val="24"/>
                <w:highlight w:val="none"/>
              </w:rPr>
              <w:t>未按竞争性磋商文件第五章要求提供《技术和服务要求响应表》的，视为响应无效。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sz w:val="24"/>
                <w:highlight w:val="none"/>
              </w:rPr>
            </w:pPr>
            <w:r>
              <w:rPr>
                <w:rFonts w:hint="eastAsia" w:ascii="宋体" w:hAnsi="宋体" w:eastAsia="宋体" w:cs="宋体"/>
                <w:kern w:val="0"/>
                <w:sz w:val="24"/>
                <w:highlight w:val="none"/>
              </w:rPr>
              <w:t>其他情形</w:t>
            </w:r>
          </w:p>
        </w:tc>
        <w:tc>
          <w:tcPr>
            <w:tcW w:w="4125"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sz w:val="24"/>
                <w:highlight w:val="none"/>
              </w:rPr>
            </w:pPr>
            <w:r>
              <w:rPr>
                <w:rFonts w:hint="eastAsia" w:ascii="宋体" w:hAnsi="宋体" w:eastAsia="宋体" w:cs="宋体"/>
                <w:kern w:val="0"/>
                <w:sz w:val="24"/>
                <w:highlight w:val="none"/>
              </w:rPr>
              <w:t>技术部分的实际得分少于磋商文件设定的技术部分总分50%</w:t>
            </w:r>
            <w:r>
              <w:rPr>
                <w:rFonts w:hint="eastAsia" w:ascii="宋体" w:hAnsi="宋体" w:eastAsia="宋体" w:cs="宋体"/>
                <w:kern w:val="0"/>
                <w:sz w:val="24"/>
                <w:highlight w:val="none"/>
                <w:lang w:eastAsia="zh-CN"/>
              </w:rPr>
              <w:t>的</w:t>
            </w:r>
            <w:r>
              <w:rPr>
                <w:rFonts w:hint="eastAsia" w:ascii="宋体" w:hAnsi="宋体" w:eastAsia="宋体" w:cs="宋体"/>
                <w:kern w:val="0"/>
                <w:sz w:val="24"/>
                <w:highlight w:val="none"/>
              </w:rPr>
              <w:t>，视为响应无效。</w:t>
            </w:r>
          </w:p>
        </w:tc>
      </w:tr>
    </w:tbl>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商务符合性：</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68"/>
        <w:gridCol w:w="74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7" w:hRule="atLeast"/>
        </w:trPr>
        <w:tc>
          <w:tcPr>
            <w:tcW w:w="87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b/>
                <w:bCs/>
                <w:sz w:val="24"/>
                <w:highlight w:val="none"/>
              </w:rPr>
            </w:pPr>
            <w:r>
              <w:rPr>
                <w:rFonts w:hint="eastAsia" w:ascii="宋体" w:hAnsi="宋体" w:eastAsia="宋体" w:cs="宋体"/>
                <w:b/>
                <w:bCs/>
                <w:kern w:val="0"/>
                <w:sz w:val="24"/>
                <w:highlight w:val="none"/>
              </w:rPr>
              <w:t>情形</w:t>
            </w:r>
          </w:p>
        </w:tc>
        <w:tc>
          <w:tcPr>
            <w:tcW w:w="4125"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b/>
                <w:bCs/>
                <w:sz w:val="24"/>
                <w:highlight w:val="none"/>
              </w:rPr>
            </w:pPr>
            <w:r>
              <w:rPr>
                <w:rFonts w:hint="eastAsia" w:ascii="宋体" w:hAnsi="宋体" w:eastAsia="宋体" w:cs="宋体"/>
                <w:b/>
                <w:bCs/>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sz w:val="24"/>
                <w:highlight w:val="none"/>
              </w:rPr>
            </w:pPr>
            <w:r>
              <w:rPr>
                <w:rFonts w:hint="eastAsia" w:ascii="宋体" w:hAnsi="宋体" w:eastAsia="宋体" w:cs="宋体"/>
                <w:kern w:val="0"/>
                <w:sz w:val="24"/>
                <w:highlight w:val="none"/>
              </w:rPr>
              <w:t>其他情形</w:t>
            </w:r>
          </w:p>
        </w:tc>
        <w:tc>
          <w:tcPr>
            <w:tcW w:w="4125"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sz w:val="24"/>
                <w:highlight w:val="none"/>
              </w:rPr>
            </w:pPr>
            <w:r>
              <w:rPr>
                <w:rFonts w:hint="eastAsia" w:ascii="宋体" w:hAnsi="宋体" w:eastAsia="宋体" w:cs="宋体"/>
                <w:kern w:val="0"/>
                <w:sz w:val="24"/>
                <w:highlight w:val="none"/>
              </w:rPr>
              <w:t>未按竞争性磋商文件第五章要求提供《商务条件和其它事项响应表》的，视为响应无效。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宋体" w:hAnsi="宋体" w:eastAsia="宋体" w:cs="宋体"/>
                <w:sz w:val="24"/>
                <w:highlight w:val="none"/>
              </w:rPr>
            </w:pPr>
            <w:r>
              <w:rPr>
                <w:rFonts w:hint="eastAsia" w:ascii="宋体" w:hAnsi="宋体" w:eastAsia="宋体" w:cs="宋体"/>
                <w:kern w:val="0"/>
                <w:sz w:val="24"/>
                <w:highlight w:val="none"/>
              </w:rPr>
              <w:t>其他情形</w:t>
            </w:r>
          </w:p>
        </w:tc>
        <w:tc>
          <w:tcPr>
            <w:tcW w:w="4125"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ascii="宋体" w:hAnsi="宋体" w:eastAsia="宋体" w:cs="宋体"/>
                <w:sz w:val="24"/>
                <w:highlight w:val="none"/>
              </w:rPr>
            </w:pPr>
            <w:r>
              <w:rPr>
                <w:rFonts w:hint="eastAsia" w:ascii="宋体" w:hAnsi="宋体" w:eastAsia="宋体" w:cs="宋体"/>
                <w:kern w:val="0"/>
                <w:sz w:val="24"/>
                <w:highlight w:val="none"/>
              </w:rPr>
              <w:t>供应商提供的商务条件均不得低于磋商文件三、“商务条件”要求，否则视为响应无效。</w:t>
            </w:r>
          </w:p>
        </w:tc>
      </w:tr>
    </w:tbl>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附加符合性</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7"/>
        <w:gridCol w:w="74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情形</w:t>
            </w:r>
          </w:p>
        </w:tc>
        <w:tc>
          <w:tcPr>
            <w:tcW w:w="4146"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pct"/>
            <w:vAlign w:val="center"/>
          </w:tcPr>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sz w:val="24"/>
                <w:szCs w:val="24"/>
                <w:highlight w:val="none"/>
              </w:rPr>
              <w:t>其他情形</w:t>
            </w:r>
          </w:p>
        </w:tc>
        <w:tc>
          <w:tcPr>
            <w:tcW w:w="4146" w:type="pct"/>
          </w:tcPr>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符合磋商文件要求</w:t>
            </w:r>
          </w:p>
        </w:tc>
      </w:tr>
    </w:tbl>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价格符合性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无</w:t>
      </w:r>
    </w:p>
    <w:p>
      <w:pPr>
        <w:pStyle w:val="25"/>
        <w:keepNext w:val="0"/>
        <w:keepLines w:val="0"/>
        <w:pageBreakBefore w:val="0"/>
        <w:kinsoku/>
        <w:overflowPunct/>
        <w:topLinePunct w:val="0"/>
        <w:autoSpaceDE/>
        <w:autoSpaceDN/>
        <w:bidi w:val="0"/>
        <w:adjustRightInd/>
        <w:snapToGrid/>
        <w:spacing w:line="360" w:lineRule="auto"/>
        <w:ind w:firstLine="480"/>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磋商小组决定供应商的响应性只根据响应文件本身的内容，而不寻求其他的外部证据。</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14.5合格供应商应当</w:t>
      </w:r>
      <w:r>
        <w:rPr>
          <w:rFonts w:hint="eastAsia" w:ascii="宋体" w:hAnsi="宋体" w:eastAsia="宋体" w:cs="宋体"/>
          <w:sz w:val="24"/>
          <w:szCs w:val="24"/>
          <w:highlight w:val="none"/>
          <w:lang w:eastAsia="zh-CN"/>
        </w:rPr>
        <w:t>参照</w:t>
      </w:r>
      <w:r>
        <w:rPr>
          <w:rFonts w:ascii="宋体" w:hAnsi="宋体" w:eastAsia="宋体" w:cs="宋体"/>
          <w:sz w:val="24"/>
          <w:szCs w:val="24"/>
          <w:highlight w:val="none"/>
        </w:rPr>
        <w:t>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14.10供应商提交的响应文件和资料将给予保密，但不退回（有关证件或证照的原件除外）。</w:t>
      </w:r>
    </w:p>
    <w:p>
      <w:pPr>
        <w:rPr>
          <w:rFonts w:ascii="宋体" w:hAnsi="宋体" w:eastAsia="宋体" w:cs="宋体"/>
          <w:b/>
          <w:sz w:val="24"/>
          <w:szCs w:val="24"/>
          <w:highlight w:val="none"/>
        </w:rPr>
      </w:pPr>
      <w:r>
        <w:rPr>
          <w:rFonts w:ascii="宋体" w:hAnsi="宋体" w:eastAsia="宋体" w:cs="宋体"/>
          <w:b/>
          <w:sz w:val="24"/>
          <w:szCs w:val="24"/>
          <w:highlight w:val="none"/>
        </w:rPr>
        <w:br w:type="page"/>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五、合同授予</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15.授予合同的准则：</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15.1除不可抗力等因素外，合同将授予响应文件符合竞争性磋商文件要求，能够圆满地履行合同，且被磋商小组推荐为第一成交候选人的供应商。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15.2 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15.3为维护国家利益和社会公共利益，最低报价不是被授予合同的绝对保证。</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16.确定成交人：</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16.1采购人委托代理机构组织竞争性磋商采购活动的，采购代理机构在评审结束后2个工作日内将评审报告送采购人确认。</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17.成交通知:</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17.2成交通知书对采购人和成交人具有同等法律效力。除不可抗力因素或政策原因外，成交通知书发出后，采购人改变成交结果，或者成交人拒绝签订采购合同的，均应当承担相应的法律责任。未成交人对成交结果公告如果有异议的，应当自成交结果公告刊登之日起7个工作日内，以书面形式向采购人或采购代理机构提出质疑，有关质疑、投诉的相关规定和要求，</w:t>
      </w:r>
      <w:r>
        <w:rPr>
          <w:rFonts w:hint="eastAsia" w:ascii="宋体" w:hAnsi="宋体" w:eastAsia="宋体" w:cs="宋体"/>
          <w:sz w:val="24"/>
          <w:szCs w:val="24"/>
          <w:highlight w:val="none"/>
          <w:lang w:val="en-US" w:eastAsia="zh-CN"/>
        </w:rPr>
        <w:t>参照</w:t>
      </w:r>
      <w:r>
        <w:rPr>
          <w:rFonts w:ascii="宋体" w:hAnsi="宋体" w:eastAsia="宋体" w:cs="宋体"/>
          <w:sz w:val="24"/>
          <w:szCs w:val="24"/>
          <w:highlight w:val="none"/>
        </w:rPr>
        <w:t>《中华人民共和国政府采购法》、《中华人民共和国政府采购法实施条例》、有关财政部规章等法律文件规定执行。</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18.签订合同：</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18.1采购人与成交人应当（详见须知前附表1中的18.1）</w:t>
      </w:r>
      <w:r>
        <w:rPr>
          <w:rFonts w:hint="eastAsia" w:ascii="宋体" w:hAnsi="宋体" w:eastAsia="宋体" w:cs="宋体"/>
          <w:sz w:val="24"/>
          <w:szCs w:val="24"/>
          <w:highlight w:val="none"/>
          <w:lang w:eastAsia="zh-CN"/>
        </w:rPr>
        <w:t>参照</w:t>
      </w:r>
      <w:r>
        <w:rPr>
          <w:rFonts w:ascii="宋体" w:hAnsi="宋体" w:eastAsia="宋体" w:cs="宋体"/>
          <w:sz w:val="24"/>
          <w:szCs w:val="24"/>
          <w:highlight w:val="none"/>
        </w:rPr>
        <w:t>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人应当按照成交通知书的规定和要求，及时与采购人签订合同。</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18.2竞争性磋商文件、成交人的响应文件及其有关澄清承诺文件等，均为签订采购合同的依据和组成部分。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六、询问、质疑与投诉</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19.询问</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19.1潜在供应商或供应商对本次采购活动的有关事项若有疑问，可向采购人或采购代理机构提出询问，采购人或采购代理机构将</w:t>
      </w:r>
      <w:r>
        <w:rPr>
          <w:rFonts w:hint="eastAsia" w:ascii="宋体" w:hAnsi="宋体" w:eastAsia="宋体" w:cs="宋体"/>
          <w:sz w:val="24"/>
          <w:szCs w:val="24"/>
          <w:highlight w:val="none"/>
          <w:lang w:val="en-US" w:eastAsia="zh-CN"/>
        </w:rPr>
        <w:t>参照</w:t>
      </w:r>
      <w:r>
        <w:rPr>
          <w:rFonts w:ascii="宋体" w:hAnsi="宋体" w:eastAsia="宋体" w:cs="宋体"/>
          <w:sz w:val="24"/>
          <w:szCs w:val="24"/>
          <w:highlight w:val="none"/>
        </w:rPr>
        <w:t>政府采购法及实施条例的有关规定进行答复。</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20.质疑</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20.1质疑应在政府采购法及实施条例规定的时效内提出，并符合下列条件：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20.1.2质疑人应提交质疑函原件。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20.1.3质疑函应包括下列主要内容：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①质疑人的基本信息，至少包括：全称、地址、邮政编码、联系人及联系电话等；适合自然人参加磋商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②所质疑项目的基本信息，至少包括：项目编号、项目名称等；</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③所质疑的具体事项（以下简称：“质疑事项”）；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④质疑人自身权益受到损害的事实依据和证明材料，至少包括：</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a1所质疑的具体事项事实存在的证明材料；</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a2所质疑的具体事项事实导致质疑人自身权益受到损害的证明材料，如：采购文件、采购过程或成交结果违法违规，损害自已合法权益等证明材料；</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备注：若质疑的具体事项</w:t>
      </w:r>
      <w:r>
        <w:rPr>
          <w:rFonts w:hint="eastAsia" w:ascii="宋体" w:hAnsi="宋体" w:eastAsia="宋体" w:cs="宋体"/>
          <w:sz w:val="24"/>
          <w:szCs w:val="24"/>
          <w:highlight w:val="none"/>
          <w:lang w:eastAsia="zh-CN"/>
        </w:rPr>
        <w:t>参照</w:t>
      </w:r>
      <w:r>
        <w:rPr>
          <w:rFonts w:ascii="宋体" w:hAnsi="宋体" w:eastAsia="宋体" w:cs="宋体"/>
          <w:sz w:val="24"/>
          <w:szCs w:val="24"/>
          <w:highlight w:val="none"/>
        </w:rPr>
        <w:t>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⑤针对质疑事项提出的明确请求和法律依据，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⑥提出质疑的日期以及质疑人代表联系方式，至少包括：姓名、手机、电子信箱、邮寄地址等。</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20.2对不符合前文第20.1条规定的质疑，采购人或采购代理机构将</w:t>
      </w:r>
      <w:r>
        <w:rPr>
          <w:rFonts w:hint="eastAsia" w:ascii="宋体" w:hAnsi="宋体" w:eastAsia="宋体" w:cs="宋体"/>
          <w:sz w:val="24"/>
          <w:szCs w:val="24"/>
          <w:highlight w:val="none"/>
          <w:lang w:eastAsia="zh-CN"/>
        </w:rPr>
        <w:t>参照</w:t>
      </w:r>
      <w:r>
        <w:rPr>
          <w:rFonts w:ascii="宋体" w:hAnsi="宋体" w:eastAsia="宋体" w:cs="宋体"/>
          <w:sz w:val="24"/>
          <w:szCs w:val="24"/>
          <w:highlight w:val="none"/>
        </w:rPr>
        <w:t>下列规定进行处理：</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20.2.1超过质疑时效提交的或者质疑人不是直接参与所质疑项目采购活动的供应商，书面告知质疑人其质疑不成立的原因和理由。</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20.3对符合前文第20.1条规定的质疑，采购人或采购代理机构将</w:t>
      </w:r>
      <w:r>
        <w:rPr>
          <w:rFonts w:hint="eastAsia" w:ascii="宋体" w:hAnsi="宋体" w:eastAsia="宋体" w:cs="宋体"/>
          <w:sz w:val="24"/>
          <w:szCs w:val="24"/>
          <w:highlight w:val="none"/>
          <w:lang w:val="en-US" w:eastAsia="zh-CN"/>
        </w:rPr>
        <w:t>参照</w:t>
      </w:r>
      <w:r>
        <w:rPr>
          <w:rFonts w:ascii="宋体" w:hAnsi="宋体" w:eastAsia="宋体" w:cs="宋体"/>
          <w:sz w:val="24"/>
          <w:szCs w:val="24"/>
          <w:highlight w:val="none"/>
        </w:rPr>
        <w:t>政府采购法及实施条例的有关规定进行答复。</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21.投诉</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21.1若对质疑答复不满意或质疑答复未在答复期限内作出，质疑人可在答复期限届满之日起15个工作日内向磋商文件中载明的监督管理部门投诉。</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21.2投诉应有明确的请求和必要的证明材料，投诉的事项不得超出已质疑事项的范围。</w:t>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七、有关信息公告和监督部门</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22.政府采购信息公告媒体</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22.2信息公告指定媒体：详见竞争性磋商须知前附表第10项。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23.监督管理部门</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ascii="宋体" w:hAnsi="宋体" w:eastAsia="宋体" w:cs="宋体"/>
          <w:b/>
          <w:sz w:val="24"/>
          <w:highlight w:val="none"/>
        </w:rPr>
      </w:pPr>
      <w:r>
        <w:rPr>
          <w:rFonts w:ascii="宋体" w:hAnsi="宋体" w:eastAsia="宋体" w:cs="宋体"/>
          <w:sz w:val="24"/>
          <w:szCs w:val="24"/>
          <w:highlight w:val="none"/>
        </w:rPr>
        <w:t>23.1磋商采购活动的监督管理部门详见竞争性磋商须知前附表第11项。</w:t>
      </w:r>
    </w:p>
    <w:p>
      <w:pPr>
        <w:pStyle w:val="25"/>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八、政府采购政策</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24、政府采购政策由财政部根据国家的经济和社会发展政策并会同国家有关部委制定，包括但不限于下列管理办法或措施：</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24.1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24.</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（1）中小企业指符合下列条件的中型、小型、微型企业：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②符合中小企业划分标准的个体工商户，在采购活动中视同中小企业。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（2）在采购活动中，供应商提供的货物、工程或者服务符合下列情形的，享受本办法规定的中小企业扶持政策：</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①在货物采购项目中，货物由中小企业制造，即货物由中小企业生产且使用该中小企业商号或者注册商标；</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②在工程采购项目中，工程由中小企业承建，即工程施工单位为中小企业；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③在服务采购项目中，服务由中小企业承接，即提供服务的人员为中小企业依照《中华人民共和国劳动合同法》 订立劳动合同的从业人员。</w:t>
      </w:r>
    </w:p>
    <w:p>
      <w:pPr>
        <w:pStyle w:val="25"/>
        <w:keepNext w:val="0"/>
        <w:keepLines w:val="0"/>
        <w:pageBreakBefore w:val="0"/>
        <w:kinsoku/>
        <w:overflowPunct/>
        <w:topLinePunct w:val="0"/>
        <w:autoSpaceDE/>
        <w:autoSpaceDN/>
        <w:bidi w:val="0"/>
        <w:adjustRightInd/>
        <w:snapToGrid/>
        <w:spacing w:line="360" w:lineRule="auto"/>
        <w:ind w:firstLine="480"/>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在货物采购项目中，供应商提供的货物既有中小企业制造货物，也有大型企业制造货物的，不享受本办法规定的中小企业扶持政策。</w:t>
      </w:r>
    </w:p>
    <w:p>
      <w:pPr>
        <w:pStyle w:val="25"/>
        <w:keepNext w:val="0"/>
        <w:keepLines w:val="0"/>
        <w:pageBreakBefore w:val="0"/>
        <w:kinsoku/>
        <w:overflowPunct/>
        <w:topLinePunct w:val="0"/>
        <w:autoSpaceDE/>
        <w:autoSpaceDN/>
        <w:bidi w:val="0"/>
        <w:adjustRightInd/>
        <w:snapToGrid/>
        <w:spacing w:line="360" w:lineRule="auto"/>
        <w:ind w:firstLine="480"/>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以联合体形式参加采购活动，联合体各方均为中小企业的，联合体视同中小企业。其中，联合体各方均为小微企业的，联合体视同小微企业。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（3）供应商应当按照磋商文件明确的采购标的对应行业的划分标准出具中小企业声明函。</w:t>
      </w:r>
    </w:p>
    <w:p>
      <w:pPr>
        <w:pStyle w:val="25"/>
        <w:keepNext w:val="0"/>
        <w:keepLines w:val="0"/>
        <w:pageBreakBefore w:val="0"/>
        <w:kinsoku/>
        <w:overflowPunct/>
        <w:topLinePunct w:val="0"/>
        <w:autoSpaceDE/>
        <w:autoSpaceDN/>
        <w:bidi w:val="0"/>
        <w:adjustRightInd/>
        <w:snapToGrid/>
        <w:spacing w:line="360" w:lineRule="auto"/>
        <w:ind w:firstLine="480"/>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①监狱企业参加采购活动时，应提供由省级以上监狱管理局、戒毒管理局（含新疆生产建设兵团）出具的属于监狱企业的证明文件。</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②监狱企业视同小型、微型企业。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（5）残疾人福利性单位指同时符合下列条件的单位：</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①安置的残疾人占本单位在职职工人数的比例不低于25%（含25%），并且安置的残疾人人数不少于10人（含10人）；</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②依法与安置的每位残疾人签订了一年以上（含一年）的劳动合同或服务协议；</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③为安置的每位残疾人按月足额缴纳了基本养老保险、基本医疗保险、失业保险、工伤保险和生育保险等社会保险费；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④通过银行等金融机构向安置的每位残疾人，按月支付了不低于单位所在区县适用的经省级人民政府批准的月最低工资标准的工资；</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⑤提供本单位制造的货物、承担的工程或服务，或提供其他残疾人福利性单位制造的货物（不包括使用非残疾人福利性单位注册商标的货物）。</w:t>
      </w:r>
    </w:p>
    <w:p>
      <w:pPr>
        <w:pStyle w:val="25"/>
        <w:keepNext w:val="0"/>
        <w:keepLines w:val="0"/>
        <w:pageBreakBefore w:val="0"/>
        <w:kinsoku/>
        <w:overflowPunct/>
        <w:topLinePunct w:val="0"/>
        <w:autoSpaceDE/>
        <w:autoSpaceDN/>
        <w:bidi w:val="0"/>
        <w:adjustRightInd/>
        <w:snapToGrid/>
        <w:spacing w:line="360" w:lineRule="auto"/>
        <w:ind w:firstLine="480"/>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5"/>
        <w:keepNext w:val="0"/>
        <w:keepLines w:val="0"/>
        <w:pageBreakBefore w:val="0"/>
        <w:kinsoku/>
        <w:overflowPunct/>
        <w:topLinePunct w:val="0"/>
        <w:autoSpaceDE/>
        <w:autoSpaceDN/>
        <w:bidi w:val="0"/>
        <w:adjustRightInd/>
        <w:snapToGrid/>
        <w:spacing w:line="360" w:lineRule="auto"/>
        <w:ind w:firstLine="480"/>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24.</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信用记录指由财政部确定的有关网站提供的相关主体信用信息。信用记录的查询及使用应符合财政部文件（财库[2016]125号）规定。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b/>
          <w:sz w:val="24"/>
          <w:szCs w:val="24"/>
          <w:highlight w:val="none"/>
        </w:rPr>
        <w:t>九、根据采购项目特点或政策需要补充的其他内容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rPr>
      </w:pPr>
      <w:r>
        <w:rPr>
          <w:rFonts w:ascii="宋体" w:hAnsi="宋体" w:eastAsia="宋体" w:cs="宋体"/>
          <w:sz w:val="24"/>
          <w:szCs w:val="24"/>
          <w:highlight w:val="none"/>
        </w:rPr>
        <w:t>25.履约保证金</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ascii="宋体" w:hAnsi="宋体" w:eastAsia="宋体" w:cs="宋体"/>
          <w:sz w:val="24"/>
          <w:szCs w:val="24"/>
          <w:highlight w:val="none"/>
        </w:rPr>
        <w:t>25.1采购人可以根据项目特点和需要，确定是否要求成交人在合同签订前，按照磋商文件规定的时间、形式、金额提交履约保证金，履约保证金的数额不超过中标合同金额的</w:t>
      </w:r>
      <w:r>
        <w:rPr>
          <w:rFonts w:hint="eastAsia" w:ascii="宋体" w:hAnsi="宋体" w:eastAsia="宋体" w:cs="宋体"/>
          <w:sz w:val="24"/>
          <w:szCs w:val="24"/>
          <w:highlight w:val="none"/>
        </w:rPr>
        <w:t>10%，具体详见磋商须知前附表第12项规定。</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25.2磋商文件要求在合同签订前提交履约保证金，如果成交人无故拖延或者拒不提交履约保证金的，则视为成交人拒绝与采购人签订合同，该成交人将承担违法行为的法律责任。</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26.其他新增内容：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26.1根据采购项目特点或政策需要补充的其他新增内容详见竞争性磋商须知前附表第13项。</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p>
      <w:pPr>
        <w:pStyle w:val="25"/>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keepNext w:val="0"/>
        <w:keepLines w:val="0"/>
        <w:pageBreakBefore w:val="0"/>
        <w:kinsoku/>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pageBreakBefore w:val="0"/>
        <w:kinsoku/>
        <w:wordWrap/>
        <w:overflowPunct/>
        <w:topLinePunct w:val="0"/>
        <w:autoSpaceDE/>
        <w:autoSpaceDN/>
        <w:bidi w:val="0"/>
        <w:adjustRightInd/>
        <w:snapToGrid/>
        <w:spacing w:line="360" w:lineRule="auto"/>
        <w:jc w:val="center"/>
        <w:outlineLvl w:val="0"/>
        <w:rPr>
          <w:rFonts w:hint="eastAsia" w:ascii="宋体" w:hAnsi="宋体" w:eastAsia="宋体" w:cs="宋体"/>
          <w:sz w:val="24"/>
          <w:szCs w:val="24"/>
          <w:highlight w:val="none"/>
        </w:rPr>
      </w:pPr>
      <w:bookmarkStart w:id="9" w:name="_Toc151924349"/>
      <w:r>
        <w:rPr>
          <w:rFonts w:hint="eastAsia" w:ascii="宋体" w:hAnsi="宋体" w:eastAsia="宋体" w:cs="宋体"/>
          <w:b/>
          <w:sz w:val="24"/>
          <w:szCs w:val="24"/>
          <w:highlight w:val="none"/>
        </w:rPr>
        <w:t>第三章 采购内容及要求</w:t>
      </w:r>
      <w:bookmarkEnd w:id="9"/>
    </w:p>
    <w:p>
      <w:pPr>
        <w:pStyle w:val="2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sz w:val="24"/>
          <w:szCs w:val="24"/>
          <w:highlight w:val="none"/>
          <w:lang w:val="en-US" w:eastAsia="zh-CN"/>
        </w:rPr>
        <w:t>项目概况</w:t>
      </w:r>
    </w:p>
    <w:p>
      <w:pPr>
        <w:pStyle w:val="2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1、本项目为</w:t>
      </w:r>
      <w:r>
        <w:rPr>
          <w:rFonts w:hint="eastAsia" w:ascii="宋体" w:hAnsi="宋体" w:eastAsia="宋体" w:cs="宋体"/>
          <w:bCs/>
          <w:color w:val="auto"/>
          <w:sz w:val="24"/>
          <w:szCs w:val="24"/>
          <w:highlight w:val="none"/>
          <w:lang w:eastAsia="zh-CN"/>
        </w:rPr>
        <w:t>：福建省辐射环境监督站实验室耗材协议供应商比选。</w:t>
      </w:r>
    </w:p>
    <w:p>
      <w:pPr>
        <w:widowControl/>
        <w:spacing w:line="400" w:lineRule="exact"/>
        <w:jc w:val="left"/>
        <w:rPr>
          <w:rFonts w:hint="eastAsia" w:ascii="宋体" w:hAnsi="宋体" w:eastAsia="宋体" w:cs="宋体"/>
          <w:kern w:val="0"/>
          <w:sz w:val="24"/>
          <w:szCs w:val="24"/>
          <w:highlight w:val="none"/>
          <w:shd w:val="clear" w:color="auto" w:fill="FFFFFF"/>
          <w:lang w:val="en-US" w:eastAsia="zh-CN" w:bidi="ar"/>
        </w:rPr>
      </w:pPr>
      <w:r>
        <w:rPr>
          <w:rFonts w:hint="eastAsia" w:ascii="宋体" w:hAnsi="宋体" w:eastAsia="宋体" w:cs="宋体"/>
          <w:kern w:val="0"/>
          <w:sz w:val="24"/>
          <w:szCs w:val="24"/>
          <w:highlight w:val="none"/>
          <w:shd w:val="clear" w:color="auto" w:fill="FFFFFF"/>
          <w:lang w:val="en-US" w:eastAsia="zh-CN" w:bidi="ar"/>
        </w:rPr>
        <w:t>2、本项目供货期限为三年。</w:t>
      </w:r>
    </w:p>
    <w:p>
      <w:pPr>
        <w:pStyle w:val="2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二、技术要求</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kern w:val="0"/>
          <w:sz w:val="24"/>
          <w:szCs w:val="24"/>
          <w:highlight w:val="none"/>
        </w:rPr>
        <w:t>品目号1-1</w:t>
      </w:r>
      <w:r>
        <w:rPr>
          <w:rFonts w:hint="eastAsia" w:ascii="宋体" w:hAnsi="宋体" w:eastAsia="宋体" w:cs="宋体"/>
          <w:b/>
          <w:bCs/>
          <w:color w:val="auto"/>
          <w:kern w:val="0"/>
          <w:sz w:val="24"/>
          <w:szCs w:val="24"/>
          <w:highlight w:val="none"/>
          <w:lang w:val="en-US" w:eastAsia="zh-CN"/>
        </w:rPr>
        <w:t xml:space="preserve"> 化学耗材</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lang w:eastAsia="zh-CN"/>
        </w:rPr>
        <w:t>）化学耗材</w:t>
      </w:r>
      <w:r>
        <w:rPr>
          <w:rFonts w:hint="eastAsia" w:ascii="宋体" w:hAnsi="宋体" w:eastAsia="宋体" w:cs="宋体"/>
          <w:b/>
          <w:bCs/>
          <w:color w:val="auto"/>
          <w:kern w:val="0"/>
          <w:sz w:val="24"/>
          <w:szCs w:val="24"/>
          <w:highlight w:val="none"/>
        </w:rPr>
        <w:t>品目表</w:t>
      </w:r>
    </w:p>
    <w:tbl>
      <w:tblPr>
        <w:tblStyle w:val="18"/>
        <w:tblW w:w="9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2065"/>
        <w:gridCol w:w="4920"/>
        <w:gridCol w:w="750"/>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项号</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1-14 80片/本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三爱思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0.5-5 80片/本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馨晟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5.5-9 80片/本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三爱思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8.2-10 80片/本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三爱思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0-2.5 80片/本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三爱思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9.5-13 80片/本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三爱思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0-2.5 100条/盒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merck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2.5-4.5 100条/盒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merck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6.5-10 100条/盒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merck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7.5-14 100条/盒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merck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pH试纸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11-13 100条/盒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merck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防护口罩</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N95带呼吸阀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普通医用口罩</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独立包装，10个/包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安瓿瓶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5ml 透明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玻璃试剂瓶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60ml，白或棕，大口或小口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盐城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玻璃试剂瓶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125ml，白或棕，大口或小口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盐城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玻璃试剂瓶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250ml，白或棕，大口或小口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盐城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玻璃试剂瓶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500ml，白或棕，大口或小口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盐城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玻璃试剂瓶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1L，白或棕，大口或小口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盐城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玻璃试剂瓶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2.5L，白或棕，大口或小口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盐城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玻璃试剂瓶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5L，白或棕，大口或小口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盐城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砝码</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F1等级 1mg-200g 23个/套 CC-2571-(07-23)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PFA容量瓶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25mL 81-0428-01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PFA容量瓶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 81-0428-02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PFA容量瓶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81-0428-03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 xml:space="preserve">10mL </w:t>
            </w:r>
            <w:r>
              <w:rPr>
                <w:rStyle w:val="38"/>
                <w:rFonts w:hint="eastAsia" w:ascii="宋体" w:hAnsi="宋体" w:eastAsia="宋体" w:cs="宋体"/>
                <w:sz w:val="24"/>
                <w:szCs w:val="24"/>
                <w:highlight w:val="none"/>
                <w:lang w:val="en-US" w:eastAsia="zh-CN" w:bidi="ar"/>
              </w:rPr>
              <w:t>±</w:t>
            </w:r>
            <w:r>
              <w:rPr>
                <w:rStyle w:val="37"/>
                <w:rFonts w:hint="eastAsia" w:ascii="宋体" w:hAnsi="宋体" w:eastAsia="宋体" w:cs="宋体"/>
                <w:sz w:val="24"/>
                <w:szCs w:val="24"/>
                <w:highlight w:val="none"/>
                <w:lang w:val="en-US" w:eastAsia="zh-CN" w:bidi="ar"/>
              </w:rPr>
              <w:t>0.02ml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闽玻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25mL ±0.05ml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闽玻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 ±0.05ml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闽玻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±0.1ml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闽玻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200mL ±0.15ml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闽玻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 ±0.15ml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闽玻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±0.25ml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闽玻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1000mL ±0.4ml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闽玻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 白1-8565-05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 棕1-8565-25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棕1-8565-26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白1-8565-06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 白1-8565-08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白 1-8565-09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棕1-8565-29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1000mL 白 1-8565-10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1000mL 棕1-8565-30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白实验服</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加厚布料 松紧口长袖，XS-5XL,绣省辐射站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白实验服</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短袖,XS-5XL，绣省辐射站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防护衣</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防静电反穿衣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护面罩</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医用高清面罩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结晶皿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φ60mm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结晶皿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φ70mm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结晶皿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φ125mm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结晶皿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结晶皿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φ180mm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玻璃表面皿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φ70mm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玻璃表面皿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φ80mm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玻璃表面皿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φ90mm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玻璃表面皿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φ3mm，长10cm，两头磨圆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φ3mm，长15cm，两头磨圆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φ3-4mm，长20cm，两头磨圆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φ3-4mm 长30cm，两头磨圆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φ4-5mm 长15cm，两头磨圆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φ6-7mm，长40-45cm，两头磨圆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φ8-9mm，长20cm，两头磨圆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φ8-9mm，长45cm，两头磨圆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玻璃纤维棒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φ3-4mm 长40cm，两头磨圆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φ40mm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φ60mm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φ70mm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φ75mm 厚款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φ90mm 厚款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φ120mm 厚款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φ150mm 厚款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瓷布氏漏斗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φ60mm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瓷布氏漏斗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φ80mm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瓷布氏漏斗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瓷布氏漏斗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φ120mm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瓷布氏漏斗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聚四氟布氏漏斗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φ80mm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聚四氟布氏漏斗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聚四氟布氏漏斗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φ120mm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10cm进口，26mm出口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25cm进口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分液漏斗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聚四氟塞及节门，100mL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芯硅谷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分液漏斗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聚四氟塞及节门，250mL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芯硅谷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分液漏斗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聚四氟塞及节门，500ml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芯硅谷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分液漏斗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聚四氟塞及节门，1000ml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芯硅谷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不锈钢可拆漏斗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医用级不锈钢，按锶90分析标准定制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脱脂棉</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玻璃棉</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KESHI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玻璃震荡珠</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7-8mm 100g/袋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玻璃补料瓶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100ml螺口瓶，不锈钢双通口6mm接口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玻璃补料瓶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2000ml螺口瓶，不锈钢三通口8mm接口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具塞三角烧瓶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具塞三角烧瓶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具塞三角烧瓶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具塞三角烧瓶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不锈钢管箍</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适合直径40-60mm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塑料取样铲</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 容量100g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塑料取样铲</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中号 容量200g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不锈钢取样铲</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 容量100g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不锈钢取样铲</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中号 容量200g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树脂勺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9-867-01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长尾圆头勺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不锈钢20cm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尖头勺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不锈钢10-15cm 3支/套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约15cm长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搅拌桨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PTFE，4叶螺旋，叶展100mm*杆径8mm*长350mm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搅拌桨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PTFE，4叶螺旋，叶展120mm*杆径10mm*长550mm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4叶螺旋，叶展120mm*杆径8mm*长400mm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4叶螺旋，叶展120mm*杆径8mm*长500mm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沥水架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SANKO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塑料镊子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小号，尖头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VETUS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不锈钢镊子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小号，尖头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VETUS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不锈钢镊子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14cm直圆头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不锈钢镊子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14cm弯头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不锈钢镊子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20cm直圆头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不锈钢圆环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内径23mm外径29mm高2mm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人字梯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5层1.5m，铝合金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擦镜纸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擦镜纸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B6-6689-01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漏斗架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亚克力材质，4孔，4*75mm玻璃三角漏斗，高度可调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漏斗架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亚克力材质，2孔，2*150mm玻璃三角漏斗，高度可调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分液漏斗架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亚克力材质，大4孔, 4*5OOML，高度可调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分液漏斗架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亚克力材质，大2孔，2*250ML，高度可调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分液漏斗架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亚克力材质，大2孔，2*500ML，高度可调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分液漏斗架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CC-6825-02,1000ML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塑料称量盘（船型）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塑料称量盘（船型）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中号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塑料称量盘（船型）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称量纸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75*75mm，500张/包 CC-4496-02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称量皿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70*35mm低型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称量皿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40*25mm低型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上嘴抽滤瓶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上嘴抽滤瓶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上嘴抽滤瓶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上嘴抽滤瓶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抽水装置</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食品级电动12v2.5a 可调电源，S-6换水导管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抽纸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大号210*210mm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心相印/维达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擦手纸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三折商用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维达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洗耳球</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小号，橡胶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洗耳球</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中号，橡胶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洗耳球</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大号，橡胶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超纯水仪耗材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科治KZ-60L 含安装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超纯水仪耗材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优普UPH-I-80L 含安装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优普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超纯水仪耗材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优普UPR-II 含安装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优普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水机压力水箱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优普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水机压力水箱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40L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优普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储水桶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圆形蓝色透明PC材质5L 小口螺旋盖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储水桶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正方形蓝色透明PC材质24L 广口螺旋盖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滴定台架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大理石底座28*15cm，高55cm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方铁架台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 60杆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方铁架台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中号 80杆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方铁架台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 100杆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三足铁架台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 85杆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三足铁架台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中号 110杆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三足铁架台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 135杆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重型铁架台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弧状底，搅拌支架杆高60-65cm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试管架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12孔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玻璃试管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φ25*100mm 加厚玻璃2mm定制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大圆桶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上口41cm下底32cm高45cm，白或蓝，含盖子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新辉45型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大圆桶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上口46cm下底35cm高50cm，白或蓝，含盖子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新辉65型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冷冻管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1.8ml 用于装剂量片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冷冻管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一次性滴管/吸管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10ml 蛇腹式，10支/包，5-5652-05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一次性滴管/吸管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3ml，100支/包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玻璃滴瓶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125ml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玻璃滴瓶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 白或棕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有机玻璃样品支架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圆圈型，内径52mm外径69mm，高10mm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有机玻璃样品支架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圆圈型，内径57mm外径69mm，高10mm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有机玻璃样品支架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圆柱形 直径15cm，高25cm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599"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样品盒支架</w:t>
            </w:r>
          </w:p>
        </w:tc>
        <w:tc>
          <w:tcPr>
            <w:tcW w:w="49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ABS或有机玻璃，圆盖子型，圆盖内径105mm，盖高10mm，盖顶面厚1mm，正中心挖空（Ø43mm正圆形）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样品瓶支架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有机玻璃 20ml瓶 CC-4398-01 30孔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砂芯层析柱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30*500mm，聚四氟乙烯塞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万用电炉</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可调温度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封闭式电炉</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1500w 直径18cm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电炉盖</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外方内圆耐火砖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电热套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98-I-BN</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泰斯特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电热套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1000ml 98-I-BN</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泰斯特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电源适配器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配赛多利斯天平6971969 14.5v DC500MA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防尘罩</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有机玻璃罩天平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便携天平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200g/0.001g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群安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便携天平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600g/0.01g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群安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丁腈手套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加厚型 100只/盒 S-M-L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AMMEX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乳胶手套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耐用型 100只/盒 S-M-L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AMMEX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防割防滑手套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均码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耐高温手套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耐温500度 均码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劳保棉纱手套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贴手灵活 均码 C2-9815-01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付</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锶用玻璃色层柱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储液150mL，聚四氟塞，柱直径φ10mm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锶用玻璃色层柱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储液150mL，聚四氟塞，柱直径φ12mm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方桶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HDPE,2.5L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鼓山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方桶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HDPE,10L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鼓山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方桶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HDPE,15L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鼓山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方桶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HDPE,25L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鼓山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温湿度计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数显 HTC-1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防潮干燥样品柜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105L 电子除湿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HINISO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防潮干燥样品柜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BG-1KPTS,立式带隔层,PET材质 1-6003-08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电热干燥箱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35*35*35cm 101-00B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尚诚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绝缘胶带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1600,18MM宽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防水胶带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PVC材质 18MM*10M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九头鸟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特氟龙胶带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棕 13mm*10m ACG825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特氟龙胶带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棕 25mm*10m ACG1325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气体干燥管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 长度20cm 内径 18mm-20mm 四氟盖6mm宝塔头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气体干燥管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有机玻璃 长度20cm 内径 18mm-20mm 四氟盖6mm宝塔头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吸吹清洁器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3600mA充电式 4000PA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磨粉器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容量≥500g JYS-M01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磨粉器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容量≥200g FSJ-A03D1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磨粉器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容量≤50g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搅拌器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NY-MS5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恩谊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搅拌器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JB-260-SH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析牛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双联磁力搅拌器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2L*2 MN-2S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西曲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加热磁力搅拌器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JK-DMS-H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JKI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加热磁力搅拌器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JK-MSH-5L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JKI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单孔磁力水浴锅</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HCJ-E</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恩谊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双孔独立水浴锅</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DK-8D</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鸿泽仪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铁氟龙加热管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蚊香型220v2kw</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微波消解罐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55ML 内罐+防爆罐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CEM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圆型承重托盘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万向轮，托盘内径40cm，承重150kg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封口膜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PM-996 10CM*38m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PARAFILM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15ml带盖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25ml带盖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50ml带盖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四氟坩埚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20ml带盖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四氟坩埚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30ml带盖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四氟坩埚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50ml带盖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坩埚架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6孔 镍铬丝</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坩埚架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9孔 镍铬丝</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坩埚钳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坩埚钳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坩埚钳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坩埚钳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夹钳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烧杯用（100-1000mL）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止水夹</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弹簧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蝴蝶夹</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铝制双侧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两爪夹</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三爪夹</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德式十字夹</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夹持宽度20mm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特大十字夹</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夹持宽度29mm，5-5622-01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固定夹</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有卡爪旋转式 1-7493-04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硅胶刮板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约25cm长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TPE刮板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42cm长 4-3068-03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硅胶刷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小号油刷长21cm宽5.5cm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型号589/3,φ110mm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whatman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型号1442-150，φ150mm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whatman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型号1442-185，φ185mm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whatman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定量滤纸(快速)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定量滤纸(快速)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定量滤纸(慢速）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定量滤纸(慢速）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定量滤纸(中速）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φ7cm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定量滤纸(中速）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φ9cm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定量滤纸(中速）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φ11cm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定量滤纸(中速）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φ12.5cm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定量滤纸(中速）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定量滤纸(中速）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定性滤纸（快速）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定性滤纸（快速）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定性滤纸（慢速）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定性滤纸（慢速）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定性滤纸（中速）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定性滤纸（中速）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离心管/离心桶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45ml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离心管/离心桶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圆底大插口38mm*107mm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离心管/离心桶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 大口62mm*118mm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zooelab综仪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离心管/离心桶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 卢湘仪 TG19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离心管/离心桶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卢湘仪 TG19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离心管/离心桶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卢湘仪 TG19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离心管/离心桶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750ml 卢湘仪 TG19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离心管/离心桶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1000ml大口 卢湘仪 GL-12M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 6孔 有机玻璃材质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6孔 有机玻璃材质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210ml 圆底 6-558-05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200ml圆底 C3-6718-05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400ml 圆底 C3-6718-06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750ml圆底 C3-6718-07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圆底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 圆底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 圆底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瓷蒸发皿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5L 圆底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圆底 口径150mm 加厚玻璃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圆底 口径120mm 加厚玻璃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圆底 口径90mm 加厚玻璃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圆底 口径60mm 加厚玻璃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石英蒸发皿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圆底 200ml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石英蒸发皿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圆底 300ml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石英蒸发皿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圆底 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培养皿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φ12cm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培养皿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培养皿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加厚海绵百洁擦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百洁布层加海绵层，5个/包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思高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克林擦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长柄海绵刷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60cm长柄，海绵刷头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红外灯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100w 可定时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PHILIPS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红外温枪</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多点测温，GIS500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手动虹吸管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塑料材质，手捏即可吸油或吸水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无油泵</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VP100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MARCELLUS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无油泵</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VP280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MARCELLUS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阻水器/消音器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BS-02250 PTFE0.22um 配套真空泵使用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针式过滤器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25*0.22MCE</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津腾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针式过滤器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25*0.22PES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津腾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手动液压窄腿货叉</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杭叉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手动堆高货叉</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万向轮 400kg 1.2m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沪工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振动筛</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主机加底盖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恒森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不锈钢筛网</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直径20cm 60目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不锈钢筛网</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直径20cm 80目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不锈钢筛网</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直径20cm 100目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稳压器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TND1-1.5 自动交流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氚测量瓶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100ml，适配日本ALOKA液闪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ALOKA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氚测量瓶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20ml，产品号：6008117，1000个/箱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碳测量瓶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20ml，低钾玻璃瓶，产品号：6000128，500个/箱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箱</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螺口玻璃瓶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5-098-10，110mL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酒精喷灯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座式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聚四氟薄膜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防酸碱垫布 尺寸0.05mm*300mm*3M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聚四氟回收磁器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直棒型30cm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聚四氟回收磁器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韧性线圈型60cm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1cm直筒C型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2cm直筒C型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4cm直筒C型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6cm直筒C型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8cm直筒C型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10cm直筒C型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3cm 十字型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5cm 十字型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2cm橄榄A型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4cm橄榄A型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聚四氟搅拌磁子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6cm橄榄A型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可拆套塞</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9层可拆，橡胶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可拆套塞</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9层可拆，硅胶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空柱管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EC2-100-U、2ML 100个/包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UDLER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玻璃扩散器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尺寸按放射性镭的分析方法定制，加厚玻璃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扩散器架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8孔 有机玻璃材质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25mL 白色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50mL白色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 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 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 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25mL 棕色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50mL棕色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 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 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蓝盖玻璃瓶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 棕</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蒸馏装置</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500ml圆底蒸馏瓶连接18cm蛇形冷凝管，接口14/23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蒸馏装置</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1000ml圆底蒸馏瓶连接18cm蛇形冷凝管，接口14/23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冷凝管变径接头</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19转14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玻璃三角量杯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玻璃三角量杯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玻璃三角量杯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塑料量筒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玛瑙研钵套装</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Ø14CM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玛瑙研钵套装</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Ø10CM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容量瓶刷，5种大小规格/套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量筒刷，5种大小规格/套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三角瓶刷，5种大小规格/套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烧杯刷，5种大小规格/套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试管刷，5种大小规格/套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试剂瓶刷，5种大小规格/套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刻度吸管刷，5种大小规格/套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细管刷，5种大小规格/套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最小号化妆刷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大号圆头化妆刷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木柄扁头 2寸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毛刷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木柄弯头 2寸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能谱马林杯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 ABS 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能谱马林杯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 PP材质 内直径101.4mm，内高76.8mm，外直径152mm，加盖高162.3mm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能谱样品盒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直径75mm，高70mm，硅胶密封圈，平均净重72g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昇宇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能谱样品盒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直径75mm，高35mm，硅胶密封圈，平均净重48g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昇宇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能谱样品盒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直径42mm，高22mm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尼龙扎带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4*250mm，250根/袋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尼龙扎带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5*350mm，250根/袋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尼龙滤布</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 xml:space="preserve"> 1000目 1米宽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碘盒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TC-45，10个/袋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玻璃纤维滤膜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K-49型 φ7.5cm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科佳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玻璃纤维滤膜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K-49型 φ5cm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科佳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PVC管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φ5*8mm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硅胶管(不透明）</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φ6*9mm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硅胶管(不透明）</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φ7*13mm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硅胶管(不透明）</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φ8*14mm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硅胶管(不透明）</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φ9*13mm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硅胶管(不透明）</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φ10*18mm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硅胶管(不透明）</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φ12*18mm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蠕动管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内径6.4mm外径9.6mm NORPRENE</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圣戈班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乳胶管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φ5*7mm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乳胶管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φ6*9mm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乳胶管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φ8*12mm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白橡胶管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可抽真空 φ5*10mm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白橡胶管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 xml:space="preserve"> φ6*9mm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白橡胶管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可抽真空 φ6*16mm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白橡胶管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可抽真空 φ8*16mm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白橡胶管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可抽真空 φ10*16mm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白橡胶管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可抽真空 φ12*18mm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白橡胶管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可抽真空 φ12*22mm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总放仪器进气管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内径1.6mm外径3.2mm 管壁厚 0.8mm 长度15m/盒 TYGON B-44-4X SAINT-GOBAIN 配套MPC9604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圣戈班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燃气管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带钢丝 9*16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气瓶标识牌</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“空”配链子/“满”配链子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气瓶减压阀</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R82IN-80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AMFLO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气瓶减压阀</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禁油 0.25Mpa 25Mpa 152IN-15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GENTEC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气瓶减压阀</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VSR-IES-2---4-G5/8-P-P-00-B-B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VIGOUR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气瓶架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40L，带轮子，可直立存放气瓶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扳手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适合装卸气瓶接口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气瓶柜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单瓶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气瓶柜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双瓶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气溶胶滤膜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聚丙烯610*505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核净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气溶胶滤膜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聚丙烯570*470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核净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气溶胶滤膜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聚丙烯270*270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核净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气溶胶滤膜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聚丙烯262*206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核净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气溶胶滤膜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聚丙烯298*229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核净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气溶胶滤膜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570*460 20g/M2（每张带支撑层）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气溶胶滤膜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470*570 30g/M2（10%带支撑层）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泰坤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气溶胶滤膜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610*500 40g/M2（10%带支撑层）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泰坤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气体取样球</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乳胶球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气体取样球</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橡胶球7号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热释光剂量片</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GR200A,均匀性1%,刻度系数1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飞诺飞 ，光润艺通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容量瓶架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亚克力材质，10ml*12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容量瓶架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亚克力材质，25ml*12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容量瓶架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亚克力材质，50ml*10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容量瓶架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亚克力材质，100ml*8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熔封机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RF-1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实验圆凳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PU 升降 铝合金脚垫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试剂柜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PP 1.8m高*0.9m双门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抽滤缓冲瓶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四氟减压阀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砂芯抽滤装置</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含抽滤杯、砂芯接头、1L 滤瓶、鸭嘴夹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G4-30mL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G4-50mL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G4-62mL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砂芯坩埚</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G4-100mL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G4-60mL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G4-100mL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G4-500ml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G4-1000ml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砂芯漏斗</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G4-1500ml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砂轮片</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φ2cm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180目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云雀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800目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1500目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砂纸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2000目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 带玻璃手柄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 带玻璃手柄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塑料量杯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带刻度、手柄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塑料量杯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1L 带刻度、手柄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塑料量杯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 带刻度、手柄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 含盖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 含盖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聚四氟烧杯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200ml 含盖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三角玻璃烧杯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125ml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三角玻璃烧杯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三角玻璃烧杯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升降台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 30*30cm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升降台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 25*25cm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升降台</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 20*20cm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石英比色皿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适用于杭州大吉光电WGJ-Ⅲ型号微量铀分析仪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石英比色皿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适用于北京核地HD-3025微量铀分析仪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石英比色皿</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CC-5338-01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透明方形乐扣盒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透明方形乐扣盒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透明方形乐扣盒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透明带滑轮收纳箱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8L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透明带滑轮收纳箱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透明带滑轮收纳箱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透明带滑轮收纳箱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55L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陶瓷剪刀</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手术剪刀</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14cm 直圆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手术剪刀</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16cm 直圆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手术剪刀</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18cm 直圆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强力剪刀</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大号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园艺剪</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175*45mm 不锈钢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把</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酸碱缸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20L 方形PP</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酸碱缸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6L 方形PP</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蓝色长孔周转筐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 60*40*30cm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零件整理箱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87*80*34cm 3*9抽屉式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载物架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不锈钢30*80*150 四层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载物架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200*50*200 600kg 四层主架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组</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全静音推车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单层48*72 150kg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全静音推车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单层 50*82 200kg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全静音推车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单层90*60 400kg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全静音推车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单层 120*75 600kg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全静音推车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双层护栏 60*90 300kg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全静音推车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双层护栏 50*80 250kg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全静音推车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三层护栏 48*72 150kg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全静音推车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三层护栏 60*90 300kg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推车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液压升降 150kg 台面45*70cm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搪瓷托盘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25*30cm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搪瓷托盘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35*50cm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搪瓷托盘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50*70cm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不锈钢方盘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35*45*5cm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不锈钢方盘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32*22*5cm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塑料方盘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 xml:space="preserve"> 特厚白色33cm*25cm*21cm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塑料方盘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 xml:space="preserve"> 特厚白色45cm*35cm*12cm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试剂托盘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黄色PP，6格（瓶）可手提 3-183-01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文丘管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石英材质用于氚碳燃烧炉（外径4.5cm高+7.5cm）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五金工具箱</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手工维修套装 25件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西林瓶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西林瓶盖</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西林瓶开盖钳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西林瓶压盖钳</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吸水器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P-08电动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金灶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潜水泵</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扬程4米、4000L/H 配水管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洗瓶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窄口尖嘴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洗瓶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250ml 窄口尖嘴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洗瓶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大口 尖嘴 64-3687-19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安全洗瓶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 3-6867-02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亚速旺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气体洗瓶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pp 材质 三通盖 500ml整套配管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橡皮锤</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压片模具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Cr12钢，内Ø69mm 模垫、凹模、冲头、脱模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压片模具</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Cr12钢，内Ø50mm 模垫、凹模、冲头、脱模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样品测量盘</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φ51mm低本底耐腐蚀不锈钢，适用总放MPC9604/LB770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医用一次性注射器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医用一次性注射器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医用一次性注射器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针型进样器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液相平头 100μL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HAMILTON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针型进样器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液相平头 50μL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HAMILTON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针型进样器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液相平头 10μL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HAMILTON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分液器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0-25ml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BRAND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手动单道移液器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PROLINE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手动单道移液器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0.5-5mL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PROLINE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手动单道移液器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100-1000ul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PROLINE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手动单道移液器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10-100ul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PROLINE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手动单道移液器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5-50ul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PROLINE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手动单道移液器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0.5-10ul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PROLINE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移液枪头</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10μL，96支/盒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赛多利斯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移液枪头</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200ul，96支/盒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赛多利斯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移液枪头</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1mL,1000支/袋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赛多利斯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移液枪头</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5ml,100支/袋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赛多利斯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移液枪头</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10mL,250支/袋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赛多利斯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圆银片</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直径23mm*0.5mm 99.999%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kg</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宁波江东昌晶稀贵金属材料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游标卡尺</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0-150mm，0.02mm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塑料样品盒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圆形透明Ø42*22mm，按压盖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玻璃样品瓶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透明15ml 螺口盖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玻璃样品瓶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透明20ml 螺口盖，口径大于12mm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玻璃样品瓶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透明30ml，螺口盖，口径大于12mm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聚乙烯圆塑料瓶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500ml大口螺口盖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聚乙烯圆塑料瓶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1000ml大口螺口盖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聚乙烯圆塑料瓶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100ml窄口螺口盖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聚乙烯圆塑料瓶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500ml窄口螺口盖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聚乙烯圆塑料瓶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1000ml窄口螺口盖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聚乙烯圆塑料瓶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2L窄口螺口盖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定制圆标签纸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直径70mm ，不干胶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定制试剂标签纸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4cm*7cm不干胶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定制采样标签贴纸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10cm*7cm，不干胶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透明长度贴纸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张</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温度贴纸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70-100度，10张/本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本</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圆型玻璃干燥器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φ30cm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圆型玻璃干燥器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φ35cm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圆型玻璃干燥器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φ40cm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自动增压泵/屏蔽泵</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自来水增压，2.4t，10m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小热水器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5升储水式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海尔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液压油</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46号 4升/件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放射性核素萃取分离专用仪上样座</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12位60ML上样座（特制版）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放射性核素萃取分离专用仪上样座</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20位15ML上样座（特制版）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放射性核素萃取分离专用仪收集座</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20位2ML串柱收集座（特制版）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断点保鲜膜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20cm宽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断点保鲜膜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30cm宽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断点保鲜膜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40cm宽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卷</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加厚保鲜袋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15*25cm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加厚保鲜袋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20*30cm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加厚保鲜袋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35*25cm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加厚保鲜袋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30*40cm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加厚保鲜袋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35*45cm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耐热密实袋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PE食品级27*28cm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妙洁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耐热密实袋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PE食品级21*18cm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妙洁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耐热密实袋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PE食品级13*13cm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盒</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妙洁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自封袋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20丝 6*8cm 2号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自封袋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13*19cm，12丝，100个/袋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自封袋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20*28cm，20丝，100个/袋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自封袋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24*34cm，12丝，100个/袋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自封袋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34*45cm，12丝，100个/袋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自封袋</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7*10cm，12丝，100个/袋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循环水泵</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SHZ-D(III) 不锈钢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机头控制器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LC-OES-200SH 配件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力辰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真空硅脂</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支</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真空泵油</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UL19 4升/件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氚碳样品舟</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定做，25cm，耐高温玻璃(详见图片1、2）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高温氧化熔炉耐火玻璃管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pyrolyser高温分解炉适配（详见图片3、4）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UPS电池</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sent，12V24AH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SENT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锅铲</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15cm，不锈钢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599</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勺子</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15cm，不锈钢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伸缩直梯</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3.5m，铝合金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塑料圆水桶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40L，桶壁光滑无凹槽台阶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试剂瓶整理箱（带盖）</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有分隔固定存放500mL试剂（例如500mL硝酸）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围裙</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牛仔布65*100cm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一次性套袖</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pe材质，100支/袋，大约440*220mm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石英玻璃棉</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耐高温1000℃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袋</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搅拌棒</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两叶~四叶，聚四氟乙烯，70cm长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浮子气体流量计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30-300mL/min</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球形干燥管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加厚玻璃，容量25mL，管接口外直径6mm（详见图片5）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白色双面防水油纸</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7.5cm*7.5cm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包</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白色双面防水油纸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分样筛</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Style w:val="37"/>
                <w:rFonts w:hint="eastAsia" w:ascii="宋体" w:hAnsi="宋体" w:eastAsia="宋体" w:cs="宋体"/>
                <w:sz w:val="24"/>
                <w:szCs w:val="24"/>
                <w:highlight w:val="none"/>
                <w:lang w:val="en-US" w:eastAsia="zh-CN" w:bidi="ar"/>
              </w:rPr>
              <w:t>20 µm – 25 mm范围内 与</w:t>
            </w:r>
            <w:r>
              <w:rPr>
                <w:rFonts w:hint="eastAsia" w:ascii="宋体" w:hAnsi="宋体" w:eastAsia="宋体" w:cs="宋体"/>
                <w:i w:val="0"/>
                <w:iCs w:val="0"/>
                <w:color w:val="000000"/>
                <w:kern w:val="0"/>
                <w:sz w:val="24"/>
                <w:szCs w:val="24"/>
                <w:highlight w:val="none"/>
                <w:u w:val="none"/>
                <w:lang w:val="en-US" w:eastAsia="zh-CN" w:bidi="ar"/>
              </w:rPr>
              <w:t>AS 200 control 配套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AS 200 control 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分样筛</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0.03~2.5mm范围内，不锈钢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蒸馏装置</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50ml圆底蒸馏瓶连接18cm蛇形冷凝管，接口14/23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离心管</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Style w:val="37"/>
                <w:rFonts w:hint="eastAsia" w:ascii="宋体" w:hAnsi="宋体" w:eastAsia="宋体" w:cs="宋体"/>
                <w:sz w:val="24"/>
                <w:szCs w:val="24"/>
                <w:highlight w:val="none"/>
                <w:lang w:val="en-US" w:eastAsia="zh-CN" w:bidi="ar"/>
              </w:rPr>
              <w:t>100mL 匹配</w:t>
            </w:r>
            <w:r>
              <w:rPr>
                <w:rFonts w:hint="eastAsia" w:ascii="宋体" w:hAnsi="宋体" w:eastAsia="宋体" w:cs="宋体"/>
                <w:i w:val="0"/>
                <w:iCs w:val="0"/>
                <w:color w:val="000000"/>
                <w:kern w:val="0"/>
                <w:sz w:val="24"/>
                <w:szCs w:val="24"/>
                <w:highlight w:val="none"/>
                <w:u w:val="none"/>
                <w:lang w:val="en-US" w:eastAsia="zh-CN" w:bidi="ar"/>
              </w:rPr>
              <w:t>LNB16000G台式高速离心机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皓庄仪器，LNB16000G台式高速离心机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液闪Quantulus仪器皮带</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正时同步皮带1183005，1183006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垃圾桶</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24*27cm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护目镜</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1621标准款 ，可与近视镜同时佩戴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617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无线手持吸尘器</w:t>
            </w:r>
          </w:p>
        </w:tc>
        <w:tc>
          <w:tcPr>
            <w:tcW w:w="4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7"/>
                <w:rFonts w:hint="eastAsia" w:ascii="宋体" w:hAnsi="宋体" w:eastAsia="宋体" w:cs="宋体"/>
                <w:sz w:val="24"/>
                <w:szCs w:val="24"/>
                <w:highlight w:val="none"/>
                <w:lang w:val="en-US" w:eastAsia="zh-CN" w:bidi="ar"/>
              </w:rPr>
              <w:t>功率</w:t>
            </w:r>
            <w:r>
              <w:rPr>
                <w:rFonts w:hint="eastAsia" w:ascii="宋体" w:hAnsi="宋体" w:eastAsia="宋体" w:cs="宋体"/>
                <w:i w:val="0"/>
                <w:iCs w:val="0"/>
                <w:color w:val="000000"/>
                <w:kern w:val="0"/>
                <w:sz w:val="24"/>
                <w:szCs w:val="24"/>
                <w:highlight w:val="none"/>
                <w:u w:val="none"/>
                <w:lang w:val="en-US" w:eastAsia="zh-CN" w:bidi="ar"/>
              </w:rPr>
              <w:t>≥</w:t>
            </w:r>
            <w:r>
              <w:rPr>
                <w:rStyle w:val="37"/>
                <w:rFonts w:hint="eastAsia" w:ascii="宋体" w:hAnsi="宋体" w:eastAsia="宋体" w:cs="宋体"/>
                <w:sz w:val="24"/>
                <w:szCs w:val="24"/>
                <w:highlight w:val="none"/>
                <w:lang w:val="en-US" w:eastAsia="zh-CN" w:bidi="ar"/>
              </w:rPr>
              <w:t>120w, 电池续航</w:t>
            </w:r>
            <w:r>
              <w:rPr>
                <w:rFonts w:hint="eastAsia" w:ascii="宋体" w:hAnsi="宋体" w:eastAsia="宋体" w:cs="宋体"/>
                <w:i w:val="0"/>
                <w:iCs w:val="0"/>
                <w:color w:val="000000"/>
                <w:kern w:val="0"/>
                <w:sz w:val="24"/>
                <w:szCs w:val="24"/>
                <w:highlight w:val="none"/>
                <w:u w:val="none"/>
                <w:lang w:val="en-US" w:eastAsia="zh-CN" w:bidi="ar"/>
              </w:rPr>
              <w:t>≥35min</w:t>
            </w:r>
            <w:r>
              <w:rPr>
                <w:rStyle w:val="37"/>
                <w:rFonts w:hint="eastAsia" w:ascii="宋体" w:hAnsi="宋体" w:eastAsia="宋体" w:cs="宋体"/>
                <w:sz w:val="24"/>
                <w:szCs w:val="24"/>
                <w:highlight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小米</w:t>
            </w:r>
          </w:p>
        </w:tc>
      </w:tr>
    </w:tbl>
    <w:p>
      <w:pPr>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drawing>
          <wp:inline distT="0" distB="0" distL="114300" distR="114300">
            <wp:extent cx="1562100" cy="2083435"/>
            <wp:effectExtent l="0" t="0" r="0" b="12065"/>
            <wp:docPr id="2" name="图片 2" descr="9db29c90ccd101bf1c82e821b6b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b29c90ccd101bf1c82e821b6b0934"/>
                    <pic:cNvPicPr>
                      <a:picLocks noChangeAspect="1"/>
                    </pic:cNvPicPr>
                  </pic:nvPicPr>
                  <pic:blipFill>
                    <a:blip r:embed="rId6"/>
                    <a:stretch>
                      <a:fillRect/>
                    </a:stretch>
                  </pic:blipFill>
                  <pic:spPr>
                    <a:xfrm>
                      <a:off x="0" y="0"/>
                      <a:ext cx="1562100" cy="2083435"/>
                    </a:xfrm>
                    <a:prstGeom prst="rect">
                      <a:avLst/>
                    </a:prstGeom>
                  </pic:spPr>
                </pic:pic>
              </a:graphicData>
            </a:graphic>
          </wp:inline>
        </w:drawing>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val="en-US" w:eastAsia="zh-CN"/>
        </w:rPr>
        <w:drawing>
          <wp:inline distT="0" distB="0" distL="114300" distR="114300">
            <wp:extent cx="2745105" cy="2059940"/>
            <wp:effectExtent l="0" t="0" r="17145" b="16510"/>
            <wp:docPr id="3" name="图片 3" descr="5b14b6ae0a6ed9b506b9837798f6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b14b6ae0a6ed9b506b9837798f6cdc"/>
                    <pic:cNvPicPr>
                      <a:picLocks noChangeAspect="1"/>
                    </pic:cNvPicPr>
                  </pic:nvPicPr>
                  <pic:blipFill>
                    <a:blip r:embed="rId7"/>
                    <a:stretch>
                      <a:fillRect/>
                    </a:stretch>
                  </pic:blipFill>
                  <pic:spPr>
                    <a:xfrm>
                      <a:off x="0" y="0"/>
                      <a:ext cx="2745105" cy="2059940"/>
                    </a:xfrm>
                    <a:prstGeom prst="rect">
                      <a:avLst/>
                    </a:prstGeom>
                  </pic:spPr>
                </pic:pic>
              </a:graphicData>
            </a:graphic>
          </wp:inline>
        </w:drawing>
      </w:r>
    </w:p>
    <w:p>
      <w:pPr>
        <w:ind w:firstLine="1446" w:firstLineChars="600"/>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图片</w:t>
      </w:r>
      <w:r>
        <w:rPr>
          <w:rFonts w:hint="eastAsia" w:ascii="宋体" w:hAnsi="宋体" w:eastAsia="宋体" w:cs="宋体"/>
          <w:b/>
          <w:sz w:val="24"/>
          <w:szCs w:val="24"/>
          <w:highlight w:val="none"/>
          <w:lang w:val="en-US" w:eastAsia="zh-CN"/>
        </w:rPr>
        <w:t xml:space="preserve">1                   图片2 </w:t>
      </w:r>
    </w:p>
    <w:p>
      <w:pPr>
        <w:jc w:val="both"/>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drawing>
          <wp:inline distT="0" distB="0" distL="114300" distR="114300">
            <wp:extent cx="2346960" cy="1320165"/>
            <wp:effectExtent l="0" t="0" r="15240" b="13335"/>
            <wp:docPr id="4" name="图片 4" descr="48ce42fd4566d18df8159bbf7cbf3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8ce42fd4566d18df8159bbf7cbf3ea"/>
                    <pic:cNvPicPr>
                      <a:picLocks noChangeAspect="1"/>
                    </pic:cNvPicPr>
                  </pic:nvPicPr>
                  <pic:blipFill>
                    <a:blip r:embed="rId8"/>
                    <a:stretch>
                      <a:fillRect/>
                    </a:stretch>
                  </pic:blipFill>
                  <pic:spPr>
                    <a:xfrm flipH="1">
                      <a:off x="0" y="0"/>
                      <a:ext cx="2346960" cy="1320165"/>
                    </a:xfrm>
                    <a:prstGeom prst="rect">
                      <a:avLst/>
                    </a:prstGeom>
                  </pic:spPr>
                </pic:pic>
              </a:graphicData>
            </a:graphic>
          </wp:inline>
        </w:drawing>
      </w:r>
      <w:r>
        <w:rPr>
          <w:rFonts w:hint="eastAsia" w:ascii="宋体" w:hAnsi="宋体" w:eastAsia="宋体" w:cs="宋体"/>
          <w:b/>
          <w:sz w:val="24"/>
          <w:szCs w:val="24"/>
          <w:highlight w:val="none"/>
          <w:lang w:eastAsia="zh-CN"/>
        </w:rPr>
        <w:drawing>
          <wp:inline distT="0" distB="0" distL="114300" distR="114300">
            <wp:extent cx="2372995" cy="1335405"/>
            <wp:effectExtent l="0" t="0" r="8255" b="17145"/>
            <wp:docPr id="5" name="图片 5" descr="fb22a62a488c5700a6cd12e37849f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b22a62a488c5700a6cd12e37849ff7"/>
                    <pic:cNvPicPr>
                      <a:picLocks noChangeAspect="1"/>
                    </pic:cNvPicPr>
                  </pic:nvPicPr>
                  <pic:blipFill>
                    <a:blip r:embed="rId9"/>
                    <a:stretch>
                      <a:fillRect/>
                    </a:stretch>
                  </pic:blipFill>
                  <pic:spPr>
                    <a:xfrm>
                      <a:off x="0" y="0"/>
                      <a:ext cx="2372995" cy="1335405"/>
                    </a:xfrm>
                    <a:prstGeom prst="rect">
                      <a:avLst/>
                    </a:prstGeom>
                  </pic:spPr>
                </pic:pic>
              </a:graphicData>
            </a:graphic>
          </wp:inline>
        </w:drawing>
      </w:r>
    </w:p>
    <w:p>
      <w:pPr>
        <w:ind w:left="554" w:leftChars="264" w:firstLine="720" w:firstLineChars="299"/>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图片</w:t>
      </w:r>
      <w:r>
        <w:rPr>
          <w:rFonts w:hint="eastAsia" w:ascii="宋体" w:hAnsi="宋体" w:eastAsia="宋体" w:cs="宋体"/>
          <w:b/>
          <w:sz w:val="24"/>
          <w:szCs w:val="24"/>
          <w:highlight w:val="none"/>
          <w:lang w:val="en-US" w:eastAsia="zh-CN"/>
        </w:rPr>
        <w:t xml:space="preserve"> 3                   图片4</w:t>
      </w:r>
    </w:p>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drawing>
          <wp:inline distT="0" distB="0" distL="114300" distR="114300">
            <wp:extent cx="1851660" cy="2242185"/>
            <wp:effectExtent l="0" t="0" r="15240" b="5715"/>
            <wp:docPr id="6" name="图片 6" descr="90025c6d786136c8e35ebc8f3d63c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0025c6d786136c8e35ebc8f3d63cc4"/>
                    <pic:cNvPicPr>
                      <a:picLocks noChangeAspect="1"/>
                    </pic:cNvPicPr>
                  </pic:nvPicPr>
                  <pic:blipFill>
                    <a:blip r:embed="rId10"/>
                    <a:stretch>
                      <a:fillRect/>
                    </a:stretch>
                  </pic:blipFill>
                  <pic:spPr>
                    <a:xfrm>
                      <a:off x="0" y="0"/>
                      <a:ext cx="1851660" cy="2242185"/>
                    </a:xfrm>
                    <a:prstGeom prst="rect">
                      <a:avLst/>
                    </a:prstGeom>
                  </pic:spPr>
                </pic:pic>
              </a:graphicData>
            </a:graphic>
          </wp:inline>
        </w:drawing>
      </w:r>
    </w:p>
    <w:p>
      <w:pPr>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sz w:val="24"/>
          <w:szCs w:val="24"/>
          <w:highlight w:val="none"/>
          <w:lang w:val="en-US" w:eastAsia="zh-CN"/>
        </w:rPr>
        <w:t xml:space="preserve">     图片5 </w:t>
      </w:r>
    </w:p>
    <w:p>
      <w:pPr>
        <w:pStyle w:val="25"/>
        <w:keepNext w:val="0"/>
        <w:keepLines w:val="0"/>
        <w:pageBreakBefore w:val="0"/>
        <w:kinsoku/>
        <w:wordWrap/>
        <w:overflowPunct/>
        <w:topLinePunct w:val="0"/>
        <w:autoSpaceDE/>
        <w:autoSpaceDN/>
        <w:bidi w:val="0"/>
        <w:adjustRightInd/>
        <w:snapToGrid/>
        <w:spacing w:line="360" w:lineRule="auto"/>
        <w:rPr>
          <w:rStyle w:val="21"/>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品目号1-2</w:t>
      </w:r>
      <w:r>
        <w:rPr>
          <w:rFonts w:hint="eastAsia" w:ascii="宋体" w:hAnsi="宋体" w:eastAsia="宋体" w:cs="宋体"/>
          <w:b/>
          <w:color w:val="auto"/>
          <w:sz w:val="24"/>
          <w:szCs w:val="24"/>
          <w:highlight w:val="none"/>
          <w:lang w:val="en-US" w:eastAsia="zh-CN"/>
        </w:rPr>
        <w:t xml:space="preserve"> 化学试剂</w:t>
      </w:r>
    </w:p>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center"/>
        <w:rPr>
          <w:rStyle w:val="21"/>
          <w:rFonts w:hint="eastAsia" w:ascii="宋体" w:hAnsi="宋体" w:eastAsia="宋体" w:cs="宋体"/>
          <w:b/>
          <w:bCs/>
          <w:color w:val="auto"/>
          <w:sz w:val="24"/>
          <w:szCs w:val="24"/>
          <w:highlight w:val="none"/>
          <w:shd w:val="clear" w:color="auto" w:fill="FFFFFF"/>
        </w:rPr>
      </w:pPr>
      <w:r>
        <w:rPr>
          <w:rStyle w:val="21"/>
          <w:rFonts w:hint="eastAsia" w:ascii="宋体" w:hAnsi="宋体" w:eastAsia="宋体" w:cs="宋体"/>
          <w:b/>
          <w:bCs/>
          <w:color w:val="auto"/>
          <w:sz w:val="24"/>
          <w:szCs w:val="24"/>
          <w:highlight w:val="none"/>
          <w:shd w:val="clear" w:color="auto" w:fill="FFFFFF"/>
        </w:rPr>
        <w:t>（</w:t>
      </w:r>
      <w:r>
        <w:rPr>
          <w:rStyle w:val="21"/>
          <w:rFonts w:hint="eastAsia" w:ascii="宋体" w:hAnsi="宋体" w:eastAsia="宋体" w:cs="宋体"/>
          <w:b/>
          <w:bCs/>
          <w:color w:val="auto"/>
          <w:sz w:val="24"/>
          <w:szCs w:val="24"/>
          <w:highlight w:val="none"/>
          <w:shd w:val="clear" w:color="auto" w:fill="FFFFFF"/>
          <w:lang w:val="en-US" w:eastAsia="zh-CN"/>
        </w:rPr>
        <w:t>二</w:t>
      </w:r>
      <w:r>
        <w:rPr>
          <w:rStyle w:val="21"/>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color w:val="auto"/>
          <w:sz w:val="24"/>
          <w:szCs w:val="24"/>
          <w:highlight w:val="none"/>
          <w:lang w:val="en-US" w:eastAsia="zh-CN"/>
        </w:rPr>
        <w:t>化学试剂</w:t>
      </w:r>
      <w:r>
        <w:rPr>
          <w:rFonts w:hint="eastAsia" w:ascii="宋体" w:hAnsi="宋体" w:eastAsia="宋体" w:cs="宋体"/>
          <w:b/>
          <w:bCs/>
          <w:color w:val="auto"/>
          <w:kern w:val="0"/>
          <w:sz w:val="24"/>
          <w:szCs w:val="24"/>
          <w:highlight w:val="none"/>
        </w:rPr>
        <w:t>品目表</w:t>
      </w:r>
    </w:p>
    <w:tbl>
      <w:tblPr>
        <w:tblStyle w:val="18"/>
        <w:tblW w:w="93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5"/>
        <w:gridCol w:w="2209"/>
        <w:gridCol w:w="4065"/>
        <w:gridCol w:w="1105"/>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项号</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产品规格</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618</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次氯酸钠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619</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1，4-双（5-苯基-2-噁唑基）苯</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闪烁纯5g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2，5二苯基噁唑</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闪烁级99%25g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阿拉丁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N235萃取剂</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科密欧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622</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氨基磺酸</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AR100G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氨水</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624</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白凡士林</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SG500G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草酸</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626</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草酸铵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627</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二-（2-乙基己基）磷酸</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248959-96%100g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SIGMA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628</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二(2-乙基己基)磷酸酯</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B823126-500ml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麦克林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二甲苯</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630</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二氧化硅</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二氧化锰</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632</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二氧化钛</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高锰酸钾</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634</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过硫酸钾</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635</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过氧化氢</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636</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还原铁粉</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AR100G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甲苯</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抗坏血酸</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AR100G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639</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可溶性淀粉</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磷钼酸铵，水合</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AR100G，含量(以MoO3计)≥86.5%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磷钼酸铵水合物</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试剂级017984-500G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LAFA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642</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磷钼酸铵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500g/瓶 AR MO≥61.1%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阿拉丁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磷酸氢二铵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644</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硫化钠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645</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646</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硫酸氢钠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647</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硫酸亚铁</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648</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硫酸亚铁铵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硫酸亚铁溶液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0.4mol/L  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科隆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氯化钡</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氯化镁</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六水AR500G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氯化镁六水</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654</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氢氧化钠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曲拉通</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656</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三聚磷酸钠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S100099-AR98%500G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阿拉丁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657</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三氧化二铝</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658</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三氧化二铁</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三正辛胺</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CAS:1116-76-3、 97%100ML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ACROS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三正辛胺</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14028-500ML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ACROS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三正辛胺</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CAS:1116-76-3、97%500ML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THERMO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四氯乙烯</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四水合钼酸铵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碳酸铵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665</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碳酸钙</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666</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无水氯化钙</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667</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无水氯化镁</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罗恩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668</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无水葡萄糖</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669</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无水碳酸钠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670</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无水乙醇</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671</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硝酸镧，水合</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AR25G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673</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硝酸锶</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硝酸钇，六水</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AR25G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675</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亚硝酸钠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676</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盐酸</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677</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阴离子交换树指</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251*8 250G 20-60目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正庚烷</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二氧化锰</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M812762-AR,85%500g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麦恪林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曲拉通</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T109026-500ml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阿拉丁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硝酸铅</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Merck公司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硝酸铁</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Merck公司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氯化铁</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Merck公司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684</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阴离子交换树脂</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201*7</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安徽三星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萃淋树脂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CL-P204,60-80目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核工业北京化工冶金研究院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Pb Resin铅冠醚树脂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PB-R10-S 2ML，50-100UM，10unit/包</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TRISKEM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Pb Resin铅冠醚树脂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PB-R10-S ，50-100UM ，100g/瓶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TRISKEM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Cs Resin KNiFC-PAN 铯树脂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NC-B200-M、 100-600um 200g/瓶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TRISKEM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689</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Sr Resin 锶树脂</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SR-B50-A、 100-150um 50g/瓶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TRISKEM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Sr Resin 锶树脂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SR-R10-S 50-100um 50g/瓶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TRISKEM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MnO2-PAN Resin 镭树脂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G2-B200-L、 100-300um 200g/瓶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TRISKEM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UTEVA® Resin 铀树脂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UT-B50-S、50-100um 50g/瓶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TRISKEM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CARBOSORE E</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1L 6013721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PE公司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PERMAFLUOR E+</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4*2.5l 6013187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PE公司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闪烁液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Gold Star LT2/A-LOW Tritium at Low Temperature、2*5L/箱</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perkinelmer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闪烁液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1200.437 OPTIPHASE HISAFE 3、5L/瓶</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perkinelmer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硝酸钡</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乙二胺四乙酸二钠盐</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沪试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二水合氯化钡</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西陇/华大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脲（尿素）</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沪试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高氯酸</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沪试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硝酸铝（九水）</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沪试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柠檬酸三铵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无水硫酸钠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华大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盐酸羟胺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硫酸铁铵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CL-7301 色层粉</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40-60目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核工业北京化工冶金研究院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过氧化钠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709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硝酸铵</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闪烁液</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60133377ULTTMA GOLD LLT perkinelmer</w:t>
            </w:r>
            <w:r>
              <w:rPr>
                <w:rFonts w:hint="eastAsia" w:ascii="宋体" w:hAnsi="宋体" w:eastAsia="宋体" w:cs="宋体"/>
                <w:i w:val="0"/>
                <w:iCs w:val="0"/>
                <w:color w:val="000000"/>
                <w:kern w:val="0"/>
                <w:sz w:val="24"/>
                <w:szCs w:val="24"/>
                <w:highlight w:val="none"/>
                <w:u w:val="none"/>
                <w:lang w:val="en-US" w:eastAsia="zh-CN" w:bidi="ar"/>
              </w:rPr>
              <w:t xml:space="preserve"> 2.5L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磷钼酸铵粉末</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1500g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变色硅胶</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二水合柠檬酸三钠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乙酸</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碘化银</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716</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碘化铋</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国药/西陇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717</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亚硫酸氢钠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718</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硫酸钠</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719</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甲醛</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720</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四氯化碳</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721</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丙酮</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722</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乙醇</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723</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盐酸羟胺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AR100g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724</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硝酸银</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AR100g</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白凡士林</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bl>
    <w:p>
      <w:pPr>
        <w:pStyle w:val="15"/>
        <w:keepNext w:val="0"/>
        <w:keepLines w:val="0"/>
        <w:pageBreakBefore w:val="0"/>
        <w:widowControl/>
        <w:kinsoku/>
        <w:wordWrap/>
        <w:overflowPunct/>
        <w:topLinePunct w:val="0"/>
        <w:autoSpaceDE/>
        <w:autoSpaceDN/>
        <w:bidi w:val="0"/>
        <w:adjustRightInd/>
        <w:snapToGrid/>
        <w:spacing w:line="360" w:lineRule="auto"/>
        <w:rPr>
          <w:rStyle w:val="21"/>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供货</w:t>
      </w:r>
      <w:r>
        <w:rPr>
          <w:rFonts w:hint="eastAsia" w:ascii="宋体" w:hAnsi="宋体" w:cs="宋体"/>
          <w:b/>
          <w:bCs/>
          <w:color w:val="auto"/>
          <w:sz w:val="24"/>
          <w:szCs w:val="24"/>
          <w:highlight w:val="none"/>
          <w:lang w:val="en-US" w:eastAsia="zh-CN"/>
        </w:rPr>
        <w:t>要求及报价要求</w:t>
      </w:r>
      <w:r>
        <w:rPr>
          <w:rStyle w:val="21"/>
          <w:rFonts w:hint="eastAsia" w:ascii="宋体" w:hAnsi="宋体" w:eastAsia="宋体" w:cs="宋体"/>
          <w:b/>
          <w:bCs/>
          <w:color w:val="auto"/>
          <w:sz w:val="24"/>
          <w:szCs w:val="24"/>
          <w:highlight w:val="none"/>
          <w:shd w:val="clear" w:color="auto" w:fill="FFFFFF"/>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Style w:val="21"/>
          <w:rFonts w:hint="eastAsia" w:ascii="宋体" w:hAnsi="宋体" w:eastAsia="宋体" w:cs="宋体"/>
          <w:b w:val="0"/>
          <w:bCs w:val="0"/>
          <w:color w:val="auto"/>
          <w:sz w:val="24"/>
          <w:szCs w:val="24"/>
          <w:highlight w:val="none"/>
          <w:shd w:val="clear" w:color="auto" w:fill="FFFFFF"/>
        </w:rPr>
        <w:t>成交人</w:t>
      </w:r>
      <w:r>
        <w:rPr>
          <w:rFonts w:hint="eastAsia" w:ascii="宋体" w:hAnsi="宋体" w:cs="宋体"/>
          <w:b w:val="0"/>
          <w:bCs w:val="0"/>
          <w:color w:val="auto"/>
          <w:sz w:val="24"/>
          <w:szCs w:val="24"/>
          <w:highlight w:val="none"/>
          <w:lang w:val="en-US" w:eastAsia="zh-CN"/>
        </w:rPr>
        <w:t>应提供合格产品，且提供试剂出厂时间不得超过半年。如其未能履行报价时的相关承诺、或提供假冒伪劣货物、或存在和采购单不符的虚假交易，采购人有权取消其协议供货资格，或对相关批次的货物金额进行扣罚。</w:t>
      </w:r>
    </w:p>
    <w:p>
      <w:pPr>
        <w:pStyle w:val="1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rPr>
          <w:rFonts w:hint="eastAsia" w:ascii="宋体" w:hAnsi="宋体" w:cs="宋体"/>
          <w:kern w:val="0"/>
          <w:sz w:val="24"/>
          <w:highlight w:val="none"/>
          <w:shd w:val="clear" w:color="auto" w:fill="FFFFFF"/>
          <w:lang w:bidi="ar"/>
        </w:rPr>
      </w:pPr>
      <w:r>
        <w:rPr>
          <w:rFonts w:hint="eastAsia" w:ascii="宋体" w:hAnsi="宋体" w:eastAsia="宋体" w:cs="宋体"/>
          <w:kern w:val="0"/>
          <w:sz w:val="24"/>
          <w:szCs w:val="24"/>
          <w:highlight w:val="none"/>
          <w:shd w:val="clear" w:fill="FFFFFF"/>
          <w:lang w:val="en-US" w:eastAsia="zh-CN" w:bidi="ar"/>
        </w:rPr>
        <w:t>2、</w:t>
      </w:r>
      <w:r>
        <w:rPr>
          <w:rStyle w:val="21"/>
          <w:rFonts w:hint="eastAsia" w:ascii="宋体" w:hAnsi="宋体" w:eastAsia="宋体" w:cs="宋体"/>
          <w:b w:val="0"/>
          <w:bCs w:val="0"/>
          <w:color w:val="auto"/>
          <w:sz w:val="24"/>
          <w:szCs w:val="24"/>
          <w:highlight w:val="none"/>
          <w:shd w:val="clear" w:color="auto" w:fill="FFFFFF"/>
        </w:rPr>
        <w:t>各供应商须在“详细报价书”中列出所投货物的具体单价、品牌及型号。具体供货品种及数量以采购人需求为准，</w:t>
      </w:r>
      <w:r>
        <w:rPr>
          <w:rStyle w:val="21"/>
          <w:rFonts w:hint="eastAsia" w:ascii="宋体" w:hAnsi="宋体" w:eastAsia="宋体" w:cs="宋体"/>
          <w:b w:val="0"/>
          <w:bCs w:val="0"/>
          <w:color w:val="auto"/>
          <w:sz w:val="24"/>
          <w:szCs w:val="24"/>
          <w:highlight w:val="none"/>
          <w:shd w:val="clear" w:color="auto" w:fill="FFFFFF"/>
          <w:lang w:val="en-US" w:eastAsia="zh-CN"/>
        </w:rPr>
        <w:t>每批次</w:t>
      </w:r>
      <w:r>
        <w:rPr>
          <w:rStyle w:val="21"/>
          <w:rFonts w:hint="eastAsia" w:ascii="宋体" w:hAnsi="宋体" w:eastAsia="宋体" w:cs="宋体"/>
          <w:b w:val="0"/>
          <w:bCs w:val="0"/>
          <w:color w:val="auto"/>
          <w:sz w:val="24"/>
          <w:szCs w:val="24"/>
          <w:highlight w:val="none"/>
          <w:shd w:val="clear" w:color="auto" w:fill="FFFFFF"/>
        </w:rPr>
        <w:t>最终结算价=</w:t>
      </w:r>
      <w:r>
        <w:rPr>
          <w:rStyle w:val="21"/>
          <w:rFonts w:hint="eastAsia" w:ascii="宋体" w:hAnsi="宋体" w:eastAsia="宋体" w:cs="宋体"/>
          <w:b w:val="0"/>
          <w:bCs w:val="0"/>
          <w:color w:val="auto"/>
          <w:sz w:val="24"/>
          <w:szCs w:val="24"/>
          <w:highlight w:val="none"/>
          <w:shd w:val="clear" w:color="auto" w:fill="FFFFFF"/>
          <w:lang w:val="en-US" w:eastAsia="zh-CN"/>
        </w:rPr>
        <w:t>成交人所投单价</w:t>
      </w:r>
      <w:r>
        <w:rPr>
          <w:rStyle w:val="21"/>
          <w:rFonts w:hint="eastAsia" w:ascii="宋体" w:hAnsi="宋体" w:eastAsia="宋体" w:cs="宋体"/>
          <w:b w:val="0"/>
          <w:bCs w:val="0"/>
          <w:color w:val="auto"/>
          <w:sz w:val="24"/>
          <w:szCs w:val="24"/>
          <w:highlight w:val="none"/>
          <w:shd w:val="clear" w:color="auto" w:fill="FFFFFF"/>
        </w:rPr>
        <w:t>×</w:t>
      </w:r>
      <w:r>
        <w:rPr>
          <w:rStyle w:val="21"/>
          <w:rFonts w:hint="eastAsia" w:ascii="宋体" w:hAnsi="宋体" w:eastAsia="宋体" w:cs="宋体"/>
          <w:b w:val="0"/>
          <w:bCs w:val="0"/>
          <w:color w:val="auto"/>
          <w:sz w:val="24"/>
          <w:szCs w:val="24"/>
          <w:highlight w:val="none"/>
          <w:shd w:val="clear" w:color="auto" w:fill="FFFFFF"/>
          <w:lang w:val="en-US" w:eastAsia="zh-CN"/>
        </w:rPr>
        <w:t>该批次</w:t>
      </w:r>
      <w:r>
        <w:rPr>
          <w:rStyle w:val="21"/>
          <w:rFonts w:hint="eastAsia" w:ascii="宋体" w:hAnsi="宋体" w:eastAsia="宋体" w:cs="宋体"/>
          <w:b w:val="0"/>
          <w:bCs w:val="0"/>
          <w:color w:val="auto"/>
          <w:sz w:val="24"/>
          <w:szCs w:val="24"/>
          <w:highlight w:val="none"/>
          <w:shd w:val="clear" w:color="auto" w:fill="FFFFFF"/>
        </w:rPr>
        <w:t>实际采购数量。</w:t>
      </w:r>
    </w:p>
    <w:p>
      <w:pPr>
        <w:pStyle w:val="1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rPr>
          <w:rFonts w:hint="eastAsia" w:ascii="宋体" w:hAnsi="宋体" w:cs="宋体"/>
          <w:kern w:val="0"/>
          <w:sz w:val="24"/>
          <w:highlight w:val="none"/>
          <w:shd w:val="clear" w:color="auto" w:fill="FFFFFF"/>
          <w:lang w:bidi="ar"/>
        </w:rPr>
      </w:pPr>
      <w:r>
        <w:rPr>
          <w:rFonts w:hint="eastAsia" w:ascii="宋体" w:hAnsi="宋体" w:eastAsia="宋体" w:cs="宋体"/>
          <w:kern w:val="0"/>
          <w:sz w:val="24"/>
          <w:szCs w:val="24"/>
          <w:highlight w:val="none"/>
          <w:shd w:val="clear" w:fill="FFFFFF"/>
          <w:lang w:val="en-US" w:eastAsia="zh-CN" w:bidi="ar"/>
        </w:rPr>
        <w:t>3、</w:t>
      </w:r>
      <w:r>
        <w:rPr>
          <w:rStyle w:val="21"/>
          <w:rFonts w:hint="eastAsia" w:ascii="宋体" w:hAnsi="宋体" w:eastAsia="宋体" w:cs="宋体"/>
          <w:b w:val="0"/>
          <w:bCs w:val="0"/>
          <w:color w:val="auto"/>
          <w:sz w:val="24"/>
          <w:szCs w:val="24"/>
          <w:highlight w:val="none"/>
          <w:shd w:val="clear" w:color="auto" w:fill="FFFFFF"/>
        </w:rPr>
        <w:t>成交人按</w:t>
      </w:r>
      <w:r>
        <w:rPr>
          <w:rStyle w:val="21"/>
          <w:rFonts w:hint="eastAsia" w:ascii="宋体" w:hAnsi="宋体" w:cs="宋体"/>
          <w:b w:val="0"/>
          <w:bCs w:val="0"/>
          <w:color w:val="auto"/>
          <w:sz w:val="24"/>
          <w:szCs w:val="24"/>
          <w:highlight w:val="none"/>
          <w:shd w:val="clear" w:color="auto" w:fill="FFFFFF"/>
          <w:lang w:val="en-US" w:eastAsia="zh-CN"/>
        </w:rPr>
        <w:t>给</w:t>
      </w:r>
      <w:r>
        <w:rPr>
          <w:rStyle w:val="21"/>
          <w:rFonts w:hint="eastAsia" w:ascii="宋体" w:hAnsi="宋体" w:eastAsia="宋体" w:cs="宋体"/>
          <w:b w:val="0"/>
          <w:bCs w:val="0"/>
          <w:color w:val="auto"/>
          <w:sz w:val="24"/>
          <w:szCs w:val="24"/>
          <w:highlight w:val="none"/>
          <w:shd w:val="clear" w:color="auto" w:fill="FFFFFF"/>
        </w:rPr>
        <w:t>采购人的实际供货品种及数量结算</w:t>
      </w:r>
      <w:r>
        <w:rPr>
          <w:rStyle w:val="21"/>
          <w:rFonts w:hint="eastAsia" w:ascii="宋体" w:hAnsi="宋体" w:eastAsia="宋体" w:cs="宋体"/>
          <w:b w:val="0"/>
          <w:bCs w:val="0"/>
          <w:color w:val="auto"/>
          <w:sz w:val="24"/>
          <w:szCs w:val="24"/>
          <w:highlight w:val="none"/>
          <w:shd w:val="clear" w:color="auto" w:fill="FFFFFF"/>
          <w:lang w:eastAsia="zh-CN"/>
        </w:rPr>
        <w:t>，</w:t>
      </w:r>
      <w:r>
        <w:rPr>
          <w:rStyle w:val="21"/>
          <w:rFonts w:hint="eastAsia" w:ascii="宋体" w:hAnsi="宋体" w:eastAsia="宋体" w:cs="宋体"/>
          <w:b w:val="0"/>
          <w:bCs w:val="0"/>
          <w:color w:val="auto"/>
          <w:sz w:val="24"/>
          <w:szCs w:val="24"/>
          <w:highlight w:val="none"/>
          <w:shd w:val="clear" w:color="auto" w:fill="FFFFFF"/>
        </w:rPr>
        <w:t>采购人有权按需、分批、分期、选择性采购。</w:t>
      </w:r>
    </w:p>
    <w:p>
      <w:pPr>
        <w:pStyle w:val="1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fill="FFFFFF"/>
          <w:lang w:val="en-US" w:eastAsia="zh-CN" w:bidi="ar-SA"/>
        </w:rPr>
        <w:t>4、</w:t>
      </w:r>
      <w:r>
        <w:rPr>
          <w:rStyle w:val="21"/>
          <w:rFonts w:hint="eastAsia" w:ascii="宋体" w:hAnsi="宋体" w:eastAsia="宋体" w:cs="宋体"/>
          <w:b w:val="0"/>
          <w:bCs w:val="0"/>
          <w:color w:val="auto"/>
          <w:sz w:val="24"/>
          <w:szCs w:val="24"/>
          <w:highlight w:val="none"/>
          <w:shd w:val="clear" w:color="auto" w:fill="FFFFFF"/>
        </w:rPr>
        <w:t>成交人</w:t>
      </w:r>
      <w:r>
        <w:rPr>
          <w:rFonts w:hint="eastAsia" w:ascii="宋体" w:hAnsi="宋体" w:eastAsia="宋体" w:cs="宋体"/>
          <w:color w:val="auto"/>
          <w:sz w:val="24"/>
          <w:szCs w:val="24"/>
          <w:highlight w:val="none"/>
          <w:shd w:val="clear" w:color="auto" w:fill="FFFFFF"/>
          <w:lang w:val="en-US" w:eastAsia="zh-CN"/>
        </w:rPr>
        <w:t>根据采购人提供的订单要求，将相应货品按时配送至约定地点，并和采购人员共同完成货物验收和收货确认工作。</w:t>
      </w:r>
    </w:p>
    <w:p>
      <w:pPr>
        <w:pStyle w:val="1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fill="FFFFFF"/>
          <w:lang w:val="en-US" w:eastAsia="zh-CN" w:bidi="ar-SA"/>
        </w:rPr>
        <w:t>5、</w:t>
      </w:r>
      <w:r>
        <w:rPr>
          <w:rFonts w:hint="eastAsia" w:ascii="宋体" w:hAnsi="宋体" w:eastAsia="宋体" w:cs="宋体"/>
          <w:color w:val="auto"/>
          <w:sz w:val="24"/>
          <w:szCs w:val="24"/>
          <w:highlight w:val="none"/>
          <w:shd w:val="clear" w:color="auto" w:fill="FFFFFF"/>
          <w:lang w:val="en-US" w:eastAsia="zh-CN"/>
        </w:rPr>
        <w:t>在协议供货有效期内，成交产品价格或服务等发生较大调整时，成交人可向采购人提出调整申请。</w:t>
      </w:r>
    </w:p>
    <w:p>
      <w:pPr>
        <w:pStyle w:val="1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fill="FFFFFF"/>
          <w:lang w:val="en-US" w:eastAsia="zh-CN" w:bidi="ar-SA"/>
        </w:rPr>
        <w:t>6、</w:t>
      </w:r>
      <w:r>
        <w:rPr>
          <w:rFonts w:hint="eastAsia" w:ascii="宋体" w:hAnsi="宋体" w:eastAsia="宋体" w:cs="宋体"/>
          <w:sz w:val="24"/>
          <w:highlight w:val="none"/>
          <w:shd w:val="clear" w:fill="FFFFFF"/>
          <w:lang w:val="en-US" w:eastAsia="zh-CN"/>
        </w:rPr>
        <w:t>供应商应明确配送方式(如送货上门、快递配送等)并承诺送货时间(如:工作日送货、全年无休、节假日正常配送等)，以及收到订单到送达采购单位指定地点所需时间。</w:t>
      </w:r>
    </w:p>
    <w:p>
      <w:pPr>
        <w:pStyle w:val="1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fill="FFFFFF"/>
          <w:lang w:val="en-US" w:eastAsia="zh-CN" w:bidi="ar-SA"/>
        </w:rPr>
        <w:t>7、</w:t>
      </w:r>
      <w:r>
        <w:rPr>
          <w:rStyle w:val="21"/>
          <w:rFonts w:hint="eastAsia" w:ascii="宋体" w:hAnsi="宋体" w:eastAsia="宋体" w:cs="宋体"/>
          <w:b w:val="0"/>
          <w:bCs w:val="0"/>
          <w:color w:val="auto"/>
          <w:sz w:val="24"/>
          <w:szCs w:val="24"/>
          <w:highlight w:val="none"/>
          <w:shd w:val="clear" w:color="auto" w:fill="FFFFFF"/>
        </w:rPr>
        <w:t>成交人</w:t>
      </w:r>
      <w:r>
        <w:rPr>
          <w:rFonts w:hint="eastAsia" w:ascii="宋体" w:hAnsi="宋体" w:eastAsia="宋体" w:cs="宋体"/>
          <w:color w:val="auto"/>
          <w:kern w:val="2"/>
          <w:sz w:val="24"/>
          <w:szCs w:val="24"/>
          <w:highlight w:val="none"/>
          <w:shd w:val="clear" w:color="auto" w:fill="FFFFFF"/>
          <w:lang w:val="en-US" w:eastAsia="zh-CN" w:bidi="ar-SA"/>
        </w:rPr>
        <w:t>在协议期内应将响应文件中产品的基本信息、价格及提供服务等进行公开。</w:t>
      </w:r>
    </w:p>
    <w:p>
      <w:pPr>
        <w:pStyle w:val="25"/>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8、</w:t>
      </w:r>
      <w:r>
        <w:rPr>
          <w:rStyle w:val="21"/>
          <w:rFonts w:hint="eastAsia" w:ascii="宋体" w:hAnsi="宋体" w:eastAsia="宋体" w:cs="宋体"/>
          <w:b w:val="0"/>
          <w:bCs w:val="0"/>
          <w:color w:val="auto"/>
          <w:sz w:val="24"/>
          <w:szCs w:val="24"/>
          <w:highlight w:val="none"/>
          <w:shd w:val="clear" w:color="auto" w:fill="FFFFFF"/>
        </w:rPr>
        <w:t>成交人</w:t>
      </w:r>
      <w:r>
        <w:rPr>
          <w:rFonts w:hint="eastAsia" w:ascii="宋体" w:hAnsi="宋体" w:eastAsia="宋体" w:cs="宋体"/>
          <w:color w:val="auto"/>
          <w:kern w:val="2"/>
          <w:sz w:val="24"/>
          <w:szCs w:val="24"/>
          <w:highlight w:val="none"/>
          <w:shd w:val="clear" w:color="auto" w:fill="FFFFFF"/>
          <w:lang w:val="en-US" w:eastAsia="zh-CN" w:bidi="ar-SA"/>
        </w:rPr>
        <w:t>同时应承诺:采购人提出协议期内订单的物流配送原始凭证和进销存台账记录查询时，予以全力配合并及时提供完整原始材料。</w:t>
      </w:r>
    </w:p>
    <w:p>
      <w:pPr>
        <w:pStyle w:val="25"/>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9、若采购人所需化学耗材及试剂不在该采购项目清单中，成交人应与采购人进行磋商定价。</w:t>
      </w:r>
    </w:p>
    <w:p>
      <w:pPr>
        <w:pStyle w:val="25"/>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shd w:val="clear" w:color="auto" w:fill="FFFFFF"/>
          <w:lang w:val="en-US" w:eastAsia="zh-CN" w:bidi="ar-SA"/>
        </w:rPr>
        <w:t>10、采购人单批次采购的耗材和试剂金额超过人民币5000元，由成交人运送至福清、霞浦和福鼎前沿站实验室；采购人单批次采购的耗材和试剂金额超过人民币10000元，可直接由成交人运送至东山县前沿站实验室。（以上所产生的运送相关费用均由成交人承担）</w:t>
      </w:r>
    </w:p>
    <w:p>
      <w:pPr>
        <w:pStyle w:val="2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三、商务条件</w:t>
      </w:r>
    </w:p>
    <w:p>
      <w:pPr>
        <w:pStyle w:val="25"/>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7"/>
        <w:gridCol w:w="712"/>
        <w:gridCol w:w="1807"/>
        <w:gridCol w:w="57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8"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010"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207"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8"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10"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3207" w:type="pct"/>
          </w:tcPr>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自合同签订之日起，按批次供货。下单后在10个工作日内完成该批次供货。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8"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10"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207" w:type="pct"/>
          </w:tcPr>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采购人指点地点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8"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10"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207" w:type="pct"/>
          </w:tcPr>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符合磋商文件及合同要求验收合格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8"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10"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是否邀请供应商验收</w:t>
            </w:r>
          </w:p>
        </w:tc>
        <w:tc>
          <w:tcPr>
            <w:tcW w:w="3207" w:type="pct"/>
          </w:tcPr>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不邀请供应商验收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8"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10"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207" w:type="pct"/>
          </w:tcPr>
          <w:p>
            <w:pPr>
              <w:pStyle w:val="25"/>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期次1，说明：按照所签订采购合同要求及成交人响应文件进行验收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98"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10"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3207" w:type="pct"/>
          </w:tcPr>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color w:val="auto"/>
                <w:sz w:val="24"/>
                <w:szCs w:val="24"/>
                <w:highlight w:val="none"/>
                <w:lang w:val="en-US" w:eastAsia="zh-CN"/>
              </w:rPr>
              <w:t>按供货批次付款，供应商提供该批次货物等额发票，</w:t>
            </w:r>
            <w:r>
              <w:rPr>
                <w:rFonts w:hint="eastAsia" w:ascii="宋体" w:hAnsi="宋体" w:eastAsia="宋体" w:cs="宋体"/>
                <w:b w:val="0"/>
                <w:bCs/>
                <w:sz w:val="24"/>
                <w:szCs w:val="24"/>
                <w:highlight w:val="none"/>
                <w:lang w:val="en-US" w:eastAsia="zh-CN"/>
              </w:rPr>
              <w:t>采购人</w:t>
            </w:r>
            <w:r>
              <w:rPr>
                <w:rFonts w:hint="eastAsia" w:ascii="宋体" w:hAnsi="宋体" w:cs="宋体"/>
                <w:kern w:val="0"/>
                <w:sz w:val="24"/>
                <w:highlight w:val="none"/>
                <w:lang w:bidi="ar"/>
              </w:rPr>
              <w:t>通过银行转账方式向中标人指定收款账户支付</w:t>
            </w:r>
            <w:r>
              <w:rPr>
                <w:rFonts w:hint="eastAsia" w:ascii="宋体" w:hAnsi="宋体" w:eastAsia="宋体" w:cs="宋体"/>
                <w:color w:val="auto"/>
                <w:sz w:val="24"/>
                <w:szCs w:val="24"/>
                <w:highlight w:val="none"/>
                <w:lang w:val="en-US" w:eastAsia="zh-CN"/>
              </w:rPr>
              <w:t>该</w:t>
            </w:r>
            <w:r>
              <w:rPr>
                <w:rFonts w:hint="eastAsia" w:ascii="宋体" w:hAnsi="宋体" w:eastAsia="宋体" w:cs="宋体"/>
                <w:b w:val="0"/>
                <w:bCs/>
                <w:sz w:val="24"/>
                <w:szCs w:val="24"/>
                <w:highlight w:val="none"/>
                <w:lang w:val="en-US" w:eastAsia="zh-CN"/>
              </w:rPr>
              <w:t>批次费用。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84"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98"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10" w:type="pct"/>
            <w:vAlign w:val="center"/>
          </w:tcPr>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3207" w:type="pct"/>
          </w:tcPr>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不缴纳</w:t>
            </w:r>
          </w:p>
        </w:tc>
      </w:tr>
    </w:tbl>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Style w:val="21"/>
          <w:rFonts w:hint="eastAsia" w:ascii="宋体" w:hAnsi="宋体" w:eastAsia="宋体" w:cs="宋体"/>
          <w:b w:val="0"/>
          <w:color w:val="auto"/>
          <w:sz w:val="24"/>
          <w:szCs w:val="24"/>
          <w:highlight w:val="none"/>
          <w:shd w:val="clear" w:color="auto" w:fill="FFFFFF"/>
        </w:rPr>
        <w:t>8、质量要求：</w:t>
      </w:r>
      <w:r>
        <w:rPr>
          <w:rFonts w:hint="eastAsia" w:ascii="宋体" w:hAnsi="宋体" w:eastAsia="宋体" w:cs="宋体"/>
          <w:color w:val="auto"/>
          <w:sz w:val="24"/>
          <w:szCs w:val="24"/>
          <w:highlight w:val="none"/>
          <w:shd w:val="clear" w:color="auto" w:fill="FFFFFF"/>
        </w:rPr>
        <w:t>成交人对所有供应采购人货品承诺严格按照采购人要求保证质量、规格、数量以及供货期限执行，若未达到采购人要求，采购人有权拒收货，给采购人造成的经济损失由成交人承担。</w:t>
      </w:r>
    </w:p>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Style w:val="21"/>
          <w:rFonts w:hint="eastAsia" w:ascii="宋体" w:hAnsi="宋体" w:cs="宋体"/>
          <w:b w:val="0"/>
          <w:color w:val="auto"/>
          <w:sz w:val="24"/>
          <w:szCs w:val="24"/>
          <w:highlight w:val="none"/>
          <w:shd w:val="clear" w:color="auto" w:fill="FFFFFF"/>
          <w:lang w:val="en-US" w:eastAsia="zh-CN"/>
        </w:rPr>
        <w:t>9</w:t>
      </w:r>
      <w:r>
        <w:rPr>
          <w:rStyle w:val="21"/>
          <w:rFonts w:hint="eastAsia" w:ascii="宋体" w:hAnsi="宋体" w:eastAsia="宋体" w:cs="宋体"/>
          <w:b w:val="0"/>
          <w:color w:val="auto"/>
          <w:sz w:val="24"/>
          <w:szCs w:val="24"/>
          <w:highlight w:val="none"/>
          <w:shd w:val="clear" w:color="auto" w:fill="FFFFFF"/>
        </w:rPr>
        <w:t>、服务要求</w:t>
      </w:r>
    </w:p>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.1 成交人应安排专人与采购人对接，未经采购人允许不得随意更换对接人员，供货过程须无条件接受采购人协调安排。</w:t>
      </w:r>
    </w:p>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.2 成交人应安排专人运送至采购单位指定地点，具体事项要求以采购人通知为准。</w:t>
      </w:r>
    </w:p>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.3采购人可通过电话、微信、QQ等方式</w:t>
      </w:r>
      <w:r>
        <w:rPr>
          <w:rFonts w:hint="eastAsia" w:ascii="宋体" w:hAnsi="宋体" w:cs="宋体"/>
          <w:color w:val="auto"/>
          <w:sz w:val="24"/>
          <w:szCs w:val="24"/>
          <w:highlight w:val="none"/>
          <w:shd w:val="clear" w:color="auto" w:fill="FFFFFF"/>
          <w:lang w:val="en-US" w:eastAsia="zh-CN"/>
        </w:rPr>
        <w:t>向成交人</w:t>
      </w:r>
      <w:r>
        <w:rPr>
          <w:rFonts w:hint="eastAsia" w:ascii="宋体" w:hAnsi="宋体" w:eastAsia="宋体" w:cs="宋体"/>
          <w:color w:val="auto"/>
          <w:sz w:val="24"/>
          <w:szCs w:val="24"/>
          <w:highlight w:val="none"/>
          <w:shd w:val="clear" w:color="auto" w:fill="FFFFFF"/>
        </w:rPr>
        <w:t>下达供货需求。</w:t>
      </w:r>
    </w:p>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.4接到采购人供货需求后</w:t>
      </w:r>
      <w:r>
        <w:rPr>
          <w:rFonts w:hint="eastAsia" w:ascii="宋体" w:hAnsi="宋体" w:cs="宋体"/>
          <w:color w:val="auto"/>
          <w:sz w:val="24"/>
          <w:szCs w:val="24"/>
          <w:highlight w:val="none"/>
          <w:shd w:val="clear" w:color="auto" w:fill="FFFFFF"/>
          <w:lang w:val="en-US" w:eastAsia="zh-CN"/>
        </w:rPr>
        <w:t>在</w:t>
      </w:r>
      <w:r>
        <w:rPr>
          <w:rFonts w:hint="eastAsia" w:ascii="宋体" w:hAnsi="宋体" w:eastAsia="宋体" w:cs="宋体"/>
          <w:sz w:val="24"/>
          <w:highlight w:val="none"/>
          <w:shd w:val="clear" w:fill="FFFFFF"/>
          <w:lang w:val="en-US" w:eastAsia="zh-CN"/>
        </w:rPr>
        <w:t>承诺送货时间</w:t>
      </w:r>
      <w:r>
        <w:rPr>
          <w:rFonts w:hint="eastAsia" w:ascii="宋体" w:hAnsi="宋体" w:cs="宋体"/>
          <w:sz w:val="24"/>
          <w:highlight w:val="none"/>
          <w:shd w:val="clear" w:fill="FFFFFF"/>
          <w:lang w:val="en-US" w:eastAsia="zh-CN"/>
        </w:rPr>
        <w:t>内</w:t>
      </w:r>
      <w:r>
        <w:rPr>
          <w:rFonts w:hint="eastAsia" w:ascii="宋体" w:hAnsi="宋体" w:eastAsia="宋体" w:cs="宋体"/>
          <w:color w:val="auto"/>
          <w:sz w:val="24"/>
          <w:szCs w:val="24"/>
          <w:highlight w:val="none"/>
          <w:shd w:val="clear" w:color="auto" w:fill="FFFFFF"/>
        </w:rPr>
        <w:t>送达，并提供完善的售后服务措施。</w:t>
      </w:r>
    </w:p>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.5 成交人接到采购人电话通知，按要求将货物送至采购人指定地点，须做到零星配送。</w:t>
      </w:r>
    </w:p>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.6 采购人需要节假日供货的，成交人应安排配送及售后服务或提供采购人认可的解决方案。</w:t>
      </w:r>
    </w:p>
    <w:p>
      <w:pPr>
        <w:pStyle w:val="15"/>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成交人在收到采购人通知后，拖延或拒不提供</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的，采购人有权在成交人逾期24小时后另行采购，另行采购费用由成交人承担，采购人有权从应付未付货款中抵扣。相关情况出现3次以上的，采购人有权提前解除合同。</w:t>
      </w:r>
    </w:p>
    <w:p>
      <w:pPr>
        <w:pStyle w:val="15"/>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成交人提供的货物</w:t>
      </w:r>
      <w:r>
        <w:rPr>
          <w:rFonts w:hint="eastAsia" w:ascii="宋体" w:hAnsi="宋体" w:eastAsia="宋体" w:cs="宋体"/>
          <w:color w:val="auto"/>
          <w:sz w:val="24"/>
          <w:szCs w:val="24"/>
          <w:highlight w:val="none"/>
        </w:rPr>
        <w:t>存在瑕疵、损坏或者非正品的，成交人应在收到采购人通知之日当日完成产品的补发、更换，并自行承担所有费用。如因补发或更换耗材产品造成采购人损失的，成交人应当赔偿损失。</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Style w:val="21"/>
          <w:rFonts w:hint="eastAsia" w:ascii="宋体" w:hAnsi="宋体" w:cs="宋体"/>
          <w:b w:val="0"/>
          <w:color w:val="auto"/>
          <w:sz w:val="24"/>
          <w:szCs w:val="24"/>
          <w:highlight w:val="none"/>
          <w:lang w:val="en-US" w:eastAsia="zh-CN"/>
        </w:rPr>
        <w:t>10</w:t>
      </w:r>
      <w:r>
        <w:rPr>
          <w:rStyle w:val="21"/>
          <w:rFonts w:hint="eastAsia" w:ascii="宋体" w:hAnsi="宋体" w:eastAsia="宋体" w:cs="宋体"/>
          <w:b w:val="0"/>
          <w:color w:val="auto"/>
          <w:sz w:val="24"/>
          <w:szCs w:val="24"/>
          <w:highlight w:val="none"/>
        </w:rPr>
        <w:t>、验收</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w:t>
      </w:r>
      <w:r>
        <w:rPr>
          <w:rFonts w:ascii="宋体" w:hAnsi="宋体" w:eastAsia="宋体" w:cs="宋体"/>
          <w:sz w:val="24"/>
          <w:highlight w:val="none"/>
        </w:rPr>
        <w:t>货物</w:t>
      </w:r>
      <w:r>
        <w:rPr>
          <w:rStyle w:val="21"/>
          <w:rFonts w:hint="eastAsia" w:ascii="宋体" w:hAnsi="宋体" w:eastAsia="宋体" w:cs="宋体"/>
          <w:b w:val="0"/>
          <w:color w:val="auto"/>
          <w:sz w:val="24"/>
          <w:szCs w:val="24"/>
          <w:highlight w:val="none"/>
        </w:rPr>
        <w:t>验收：</w:t>
      </w:r>
      <w:r>
        <w:rPr>
          <w:rFonts w:hint="eastAsia" w:ascii="宋体" w:hAnsi="宋体" w:eastAsia="宋体" w:cs="宋体"/>
          <w:color w:val="auto"/>
          <w:sz w:val="24"/>
          <w:szCs w:val="24"/>
          <w:highlight w:val="none"/>
        </w:rPr>
        <w:t>产品、材料应按生产厂家的产品出厂检验标准、采购文件以及国家和行业验收规范要求及合同中的相关条款进行数量及质量的验收。产品应按有关标准要求进行包装，交付时外包装盒须完好。在此期间，若发现货物质量有问题成交人应无条件免费更换。</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在验收时所发生的一切费用由成交人承担。</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若验收不能符合要求，采购人将按合同商务条款的有关规定执行。</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Style w:val="21"/>
          <w:rFonts w:hint="eastAsia" w:ascii="宋体" w:hAnsi="宋体" w:eastAsia="宋体" w:cs="宋体"/>
          <w:b w:val="0"/>
          <w:color w:val="auto"/>
          <w:sz w:val="24"/>
          <w:szCs w:val="24"/>
          <w:highlight w:val="none"/>
        </w:rPr>
        <w:t>1</w:t>
      </w:r>
      <w:r>
        <w:rPr>
          <w:rStyle w:val="21"/>
          <w:rFonts w:hint="eastAsia" w:ascii="宋体" w:hAnsi="宋体" w:cs="宋体"/>
          <w:b w:val="0"/>
          <w:color w:val="auto"/>
          <w:sz w:val="24"/>
          <w:szCs w:val="24"/>
          <w:highlight w:val="none"/>
          <w:lang w:val="en-US" w:eastAsia="zh-CN"/>
        </w:rPr>
        <w:t>1</w:t>
      </w:r>
      <w:r>
        <w:rPr>
          <w:rStyle w:val="21"/>
          <w:rFonts w:hint="eastAsia" w:ascii="宋体" w:hAnsi="宋体" w:eastAsia="宋体" w:cs="宋体"/>
          <w:b w:val="0"/>
          <w:color w:val="auto"/>
          <w:sz w:val="24"/>
          <w:szCs w:val="24"/>
          <w:highlight w:val="none"/>
        </w:rPr>
        <w:t>、违约责任</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.1因成交人原因造成合同无法按时签订，视为成交人违约，对采购人造成损失的，成交人需支付相应的赔偿。</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在采购供货合同签订之后，成交人单方面要求解除或终止合同的，视为成交人违约。成交人应向采购人支付合同金额20%的违约金，若该违约金不足以弥补采购人损失，成交人需另行支付相应赔偿。</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 在采购合同签订之后，成交人提供的货物与响应文件不符，或未按合同规定的质量要求交货的，采购人有权拒收，由此造成的损失由成交人赔偿。</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 成交人逾期交货(包括补发、更换等)的，每逾期一天，成交人应向采购人支付500元违约金。若成交人逾期交货达20天及以上的，采购人有权单方面终止合同，延期内已交的违约金采购人将不予退还。由此给采购人造成损失的，由成交人负责。</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.5 使用过程中采购人如发现成交人提供的</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未达到合同约定的标准，应在当日予以更换，每逾期一天，成交人应向采购人支付500元违约金，若因此给采购人造成损失的，成交人应赔偿采购人所受的损失。</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.6 成交人履行义务不符合合同约定，给采购人造成损失的，应赔偿采购人所受损失，成交人在接到采购人发出的书面违约通知书后七日内仍不交纳违约金的，采购人有权扣减货款。货款不足以赔偿的，采购人有权从货物尾款中扣除相应违约金，若不足以补偿应由成交人补齐，并可进一步提出追索和索赔。</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.7 因成交人原因发生重大质量事故，除依约承担赔偿责任外，还将按有关质量管理办法规定执行。同时，采购人报相关行政主管部门处罚。</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.8 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人的权利。给采购人造成的损失，成交人应承担赔偿责任。</w:t>
      </w:r>
    </w:p>
    <w:p>
      <w:pPr>
        <w:pStyle w:val="1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.9 在明确违约责任后，成交人应在接到书面通知书起七天内支付违约金、赔偿金等。</w:t>
      </w:r>
    </w:p>
    <w:p>
      <w:pPr>
        <w:pStyle w:val="2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p>
    <w:p>
      <w:pPr>
        <w:pStyle w:val="2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pPr>
        <w:pStyle w:val="2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1、除竞争性磋商文件另有规定外，若出现有关法律、法规和规章有强制性规定但竞争性磋商文件未列明的情形，则供应商应按照有关法律、法规和规章强制性规定执行。 </w:t>
      </w:r>
    </w:p>
    <w:p>
      <w:pPr>
        <w:pStyle w:val="25"/>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2、其他： </w:t>
      </w:r>
      <w:r>
        <w:rPr>
          <w:rFonts w:hint="eastAsia" w:ascii="宋体" w:hAnsi="宋体" w:eastAsia="宋体" w:cs="宋体"/>
          <w:color w:val="auto"/>
          <w:sz w:val="24"/>
          <w:szCs w:val="24"/>
          <w:highlight w:val="none"/>
          <w:lang w:val="en-US" w:eastAsia="zh-CN"/>
        </w:rPr>
        <w:t>无</w:t>
      </w:r>
    </w:p>
    <w:p>
      <w:pPr>
        <w:pStyle w:val="25"/>
        <w:rPr>
          <w:rFonts w:hint="default" w:ascii="宋体" w:hAnsi="宋体" w:eastAsia="宋体" w:cs="宋体"/>
          <w:sz w:val="24"/>
          <w:szCs w:val="24"/>
          <w:highlight w:val="none"/>
        </w:rPr>
      </w:pPr>
    </w:p>
    <w:p>
      <w:pPr>
        <w:rPr>
          <w:rFonts w:ascii="宋体" w:hAnsi="宋体" w:eastAsia="宋体" w:cs="宋体"/>
          <w:b/>
          <w:sz w:val="24"/>
          <w:highlight w:val="none"/>
        </w:rPr>
      </w:pPr>
      <w:r>
        <w:rPr>
          <w:rFonts w:hint="eastAsia" w:ascii="宋体" w:hAnsi="宋体" w:eastAsia="宋体" w:cs="宋体"/>
          <w:b/>
          <w:sz w:val="24"/>
          <w:highlight w:val="none"/>
        </w:rPr>
        <w:br w:type="page"/>
      </w:r>
    </w:p>
    <w:p>
      <w:pPr>
        <w:pStyle w:val="25"/>
        <w:spacing w:line="360" w:lineRule="auto"/>
        <w:jc w:val="center"/>
        <w:outlineLvl w:val="0"/>
        <w:rPr>
          <w:rFonts w:hint="default" w:ascii="宋体" w:hAnsi="宋体" w:eastAsia="宋体" w:cs="宋体"/>
          <w:sz w:val="28"/>
          <w:szCs w:val="28"/>
          <w:highlight w:val="none"/>
        </w:rPr>
      </w:pPr>
      <w:bookmarkStart w:id="10" w:name="_Toc151924352"/>
      <w:r>
        <w:rPr>
          <w:rFonts w:ascii="宋体" w:hAnsi="宋体" w:eastAsia="宋体" w:cs="宋体"/>
          <w:b/>
          <w:sz w:val="28"/>
          <w:szCs w:val="28"/>
          <w:highlight w:val="none"/>
        </w:rPr>
        <w:t>第四章 合同主要条款及格式</w:t>
      </w:r>
      <w:bookmarkEnd w:id="10"/>
    </w:p>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参考文本</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合同文本，仅供参考</w:t>
      </w:r>
      <w:r>
        <w:rPr>
          <w:rFonts w:hint="eastAsia" w:ascii="宋体" w:hAnsi="宋体" w:eastAsia="宋体" w:cs="宋体"/>
          <w:b/>
          <w:sz w:val="24"/>
          <w:szCs w:val="24"/>
          <w:highlight w:val="none"/>
          <w:lang w:eastAsia="zh-CN"/>
        </w:rPr>
        <w:t>）</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p>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采购合同</w:t>
      </w:r>
    </w:p>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编制说明</w:t>
      </w:r>
    </w:p>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lang w:eastAsia="zh-CN"/>
        </w:rPr>
      </w:pP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1.签订合同应</w:t>
      </w:r>
      <w:r>
        <w:rPr>
          <w:rFonts w:hint="eastAsia" w:ascii="宋体" w:hAnsi="宋体" w:eastAsia="宋体" w:cs="宋体"/>
          <w:b/>
          <w:sz w:val="24"/>
          <w:szCs w:val="24"/>
          <w:highlight w:val="none"/>
          <w:lang w:val="en-US" w:eastAsia="zh-CN"/>
        </w:rPr>
        <w:t>参照</w:t>
      </w:r>
      <w:r>
        <w:rPr>
          <w:rFonts w:hint="eastAsia" w:ascii="宋体" w:hAnsi="宋体" w:eastAsia="宋体" w:cs="宋体"/>
          <w:b/>
          <w:sz w:val="24"/>
          <w:szCs w:val="24"/>
          <w:highlight w:val="none"/>
        </w:rPr>
        <w:t>《中华人民共和国政府采购法》及其实施条例、《中华人民共和国民法典》等法律法规及其他有关规定。</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2.签订合同时，采购人与成交人应结合采购文件规定填列相应内容。采购文件已有约定的，双方均不得对约定进行变更或调整；采购文件未作规定的，双方可通过友好协商进行约定。</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3.政府有关主管部门对若干合同有规范文本的，可使用相应合同文本。</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4.本合同范本仅供参考，采购人应当根据采购项目的实际需求对合同条款进行修改、补充。</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 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住所地： 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 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电子邮箱：___________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 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住所地： 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联系人：___________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联系电话：___________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传真：___________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电子邮箱：___________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根据项目编号为________ 的 ___________项目（以下简称：“本项目”）的采购结果，遵循平等、自愿、公平和诚实信用的原则，双方签署本合同，具体内容如下：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一、合同组成部分</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1.1本合同条款及附件；</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1.2采购文件及其附件、补充文件；</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1.3乙方的响应文件及其附件、补充文件；</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1.4其他文件或材料：</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二、合同标的</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三、合同金额</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3.1合同总价：人民币（大写）_________ 元（￥_________元）；</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3.2合同总价组成：___________；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3.3其他需说明事项：___________；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四、合同标的交付</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4.1交付时间：___________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4.2交付地点：___________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4.3交付条件：___________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4.4供货要求：</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若乙方提供的采购标的不符合国家知识产权法律、法规的规定或被有关主管机关认定为假冒伪劣品，则乙方</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或成交资格将被取消；甲方还将按照有关法律、法规和规章的规定进行处理，具体如下：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（4）其他供货要求：</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五、质量标准及要求</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5.1质量标准及要求</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（2）其他质量要求</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5.2节能环保产品要求</w:t>
      </w:r>
      <w:bookmarkStart w:id="14" w:name="_GoBack"/>
      <w:bookmarkEnd w:id="14"/>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5.3质量保证范围、质量保证期及售后服务</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（1）质量保证范围：___________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（2）本合同乙方所供应的货物质量保证期自验收合格之日起_______月。</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（3）售后服务应按法律法规和采购文件约定执行，具体如下：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5.4商品安全责任</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商品安全责任应按照法律法规和采购文件的规定执行，具体如下：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六、安装调试、验收及退、换货</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6.1安装调试、验收应按照采购文件、乙方响应文件的规定或约定进行，具体如下：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6.2本项目是否邀请其他供应商参与验收：</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不邀请。  邀请，具体如下：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6.3本项目是否邀请专家参与验收：</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不邀请。  邀请，具体如下：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6.4本项目是否邀请国家认可的质量检测机构参与验收：</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不邀请。  邀请，具体如下：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6.5履约验收：___________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6.6退、换货：___________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6.7其他：</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七、资金支付方式、条件和时间</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八、履约保证金</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□有，□无。具体如下违约：（按照采购文件规定填写）。</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8.1乙方向甲方缴纳人民币 元（大写： ）作为本合同的履约保证金。</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8.2履约保证金缴纳形式：支票/汇票/电汇/保函等非现金形式。</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8.3履约保证金退还： （根据实际情况填写） 。</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九、合同期限</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十、违约责任</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10.1甲方违约责任</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（1）甲方无正当理由拒收乙方交付的合格产品的，甲方向乙方偿付拒收货款总值_____的违约金</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（2）甲方无故逾期验收和办理合同款项支付手续的,甲方应按逾期付款总额每日_______向乙方支付违约金。</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（3）其他违约情形</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10.2乙方违约责任</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（3）乙方不按合同约定履约的，甲方可以解除采购合同，并对乙方已缴纳的履约保证金作“不予退还”处理。同时，乙方还须按向甲方支付违约金：</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（4）其他违约情形</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十一、不可抗力事件处理</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十二、保密条款</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12.1对于在采购和合同履行过程中所获悉的属于保密的内容，甲、乙双方均负有保密义务。</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12.2其他</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十三、解决争议的方法</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13.1甲、乙双方协商解决。</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13.2若协商解决不成，双方明确按以下第__方式解决：</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1、提交仲裁委员会仲裁，具体如下：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2、向人民法院提起诉讼，具体如下：</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十四、合同其他条款</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十五、其他约定</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15.1合同文件与本合同具有同等法律效力。</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15.2合同生效：合同经双方法定代表人或委托代理人签字并加盖单位公章后生效。15.3本合同未尽事宜，遵照《中华人民共和国民法典》有关条文执行。</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15.4本合同正本一式_______份，具有同等法律效力，甲方、乙方各执_______份；副本_______份，_______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15.5本合同已用于采购合同融资，为本项目提供合同融资的金融机构为：_______，甲乙双方应当按照融资合同的约定进行资金使用及款项支付。</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成交人</w:t>
      </w:r>
      <w:r>
        <w:rPr>
          <w:rFonts w:hint="eastAsia" w:ascii="宋体" w:hAnsi="宋体" w:eastAsia="宋体" w:cs="宋体"/>
          <w:sz w:val="24"/>
          <w:szCs w:val="24"/>
          <w:highlight w:val="none"/>
        </w:rPr>
        <w:t>应于采购合同签订之日起_______内，向发放政采贷的金融机构提交采购成交通知书和采购合同，贷款金额以采购合同金额为限。</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15.6其他</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十六、合同附件</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甲方（采购人）：</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纳税人识别号：</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开户银行：</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账号：</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乙方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成交人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纳税人识别号：</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开户银行：</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账号：</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签订地点：__________</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签订日期：___年___月___日</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rPr>
          <w:rFonts w:hint="default" w:ascii="宋体" w:hAnsi="宋体" w:eastAsia="宋体" w:cs="宋体"/>
          <w:sz w:val="24"/>
          <w:szCs w:val="24"/>
          <w:highlight w:val="none"/>
        </w:rPr>
      </w:pPr>
      <w:r>
        <w:rPr>
          <w:rFonts w:ascii="宋体" w:hAnsi="宋体" w:eastAsia="宋体" w:cs="宋体"/>
          <w:sz w:val="24"/>
          <w:szCs w:val="24"/>
          <w:highlight w:val="none"/>
        </w:rPr>
        <w:t xml:space="preserve"> </w:t>
      </w:r>
    </w:p>
    <w:p>
      <w:pPr>
        <w:rPr>
          <w:rFonts w:ascii="宋体" w:hAnsi="宋体" w:eastAsia="宋体" w:cs="宋体"/>
          <w:b/>
          <w:sz w:val="28"/>
          <w:szCs w:val="28"/>
          <w:highlight w:val="none"/>
        </w:rPr>
      </w:pPr>
      <w:r>
        <w:rPr>
          <w:rFonts w:hint="eastAsia" w:ascii="宋体" w:hAnsi="宋体" w:eastAsia="宋体" w:cs="宋体"/>
          <w:b/>
          <w:sz w:val="28"/>
          <w:szCs w:val="28"/>
          <w:highlight w:val="none"/>
        </w:rPr>
        <w:br w:type="page"/>
      </w:r>
    </w:p>
    <w:p>
      <w:pPr>
        <w:pStyle w:val="25"/>
        <w:jc w:val="center"/>
        <w:outlineLvl w:val="0"/>
        <w:rPr>
          <w:rFonts w:hint="default" w:ascii="宋体" w:hAnsi="宋体" w:eastAsia="宋体" w:cs="宋体"/>
          <w:sz w:val="28"/>
          <w:szCs w:val="28"/>
          <w:highlight w:val="none"/>
        </w:rPr>
      </w:pPr>
      <w:bookmarkStart w:id="11" w:name="_Toc151924353"/>
      <w:r>
        <w:rPr>
          <w:rFonts w:ascii="宋体" w:hAnsi="宋体" w:eastAsia="宋体" w:cs="宋体"/>
          <w:b/>
          <w:sz w:val="28"/>
          <w:szCs w:val="28"/>
          <w:highlight w:val="none"/>
        </w:rPr>
        <w:t>第五章 首次响应文件格式</w:t>
      </w:r>
      <w:bookmarkEnd w:id="11"/>
    </w:p>
    <w:p>
      <w:pPr>
        <w:pStyle w:val="2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rPr>
      </w:pPr>
      <w:r>
        <w:rPr>
          <w:rFonts w:ascii="宋体" w:hAnsi="宋体" w:eastAsia="宋体" w:cs="宋体"/>
          <w:b/>
          <w:sz w:val="24"/>
          <w:szCs w:val="24"/>
          <w:highlight w:val="none"/>
        </w:rPr>
        <w:t>编制说明</w:t>
      </w:r>
    </w:p>
    <w:p>
      <w:pPr>
        <w:pStyle w:val="25"/>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4"/>
          <w:szCs w:val="24"/>
          <w:highlight w:val="none"/>
        </w:rPr>
      </w:pPr>
      <w:r>
        <w:rPr>
          <w:rFonts w:ascii="宋体" w:hAnsi="宋体" w:eastAsia="宋体" w:cs="宋体"/>
          <w:sz w:val="24"/>
          <w:szCs w:val="24"/>
          <w:highlight w:val="none"/>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25"/>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rPr>
      </w:pPr>
    </w:p>
    <w:p>
      <w:pPr>
        <w:pStyle w:val="25"/>
        <w:rPr>
          <w:rFonts w:hint="default" w:ascii="宋体" w:hAnsi="宋体" w:eastAsia="宋体" w:cs="宋体"/>
          <w:sz w:val="24"/>
          <w:szCs w:val="24"/>
          <w:highlight w:val="none"/>
        </w:rPr>
      </w:pPr>
      <w:r>
        <w:rPr>
          <w:rFonts w:ascii="宋体" w:hAnsi="宋体" w:eastAsia="宋体" w:cs="宋体"/>
          <w:sz w:val="24"/>
          <w:szCs w:val="24"/>
          <w:highlight w:val="none"/>
        </w:rPr>
        <w:t xml:space="preserve"> </w:t>
      </w:r>
    </w:p>
    <w:p>
      <w:pPr>
        <w:pStyle w:val="25"/>
        <w:jc w:val="center"/>
        <w:rPr>
          <w:rFonts w:hint="default" w:ascii="宋体" w:hAnsi="宋体" w:eastAsia="宋体" w:cs="宋体"/>
          <w:b/>
          <w:sz w:val="24"/>
          <w:szCs w:val="24"/>
          <w:highlight w:val="none"/>
        </w:rPr>
      </w:pPr>
      <w:r>
        <w:rPr>
          <w:rFonts w:ascii="宋体" w:hAnsi="宋体" w:eastAsia="宋体" w:cs="宋体"/>
          <w:b/>
          <w:sz w:val="24"/>
          <w:szCs w:val="24"/>
          <w:highlight w:val="none"/>
        </w:rPr>
        <w:t xml:space="preserve"> </w:t>
      </w:r>
    </w:p>
    <w:p>
      <w:pPr>
        <w:rPr>
          <w:rFonts w:ascii="宋体" w:hAnsi="宋体" w:eastAsia="宋体" w:cs="宋体"/>
          <w:b/>
          <w:sz w:val="24"/>
          <w:highlight w:val="none"/>
        </w:rPr>
      </w:pPr>
      <w:r>
        <w:rPr>
          <w:rFonts w:hint="eastAsia" w:ascii="宋体" w:hAnsi="宋体" w:eastAsia="宋体" w:cs="宋体"/>
          <w:b/>
          <w:sz w:val="24"/>
          <w:highlight w:val="none"/>
        </w:rPr>
        <w:br w:type="page"/>
      </w:r>
    </w:p>
    <w:p>
      <w:pPr>
        <w:pStyle w:val="25"/>
        <w:jc w:val="center"/>
        <w:rPr>
          <w:rFonts w:hint="default" w:ascii="宋体" w:hAnsi="宋体" w:eastAsia="宋体" w:cs="宋体"/>
          <w:sz w:val="72"/>
          <w:szCs w:val="72"/>
          <w:highlight w:val="none"/>
        </w:rPr>
      </w:pPr>
      <w:r>
        <w:rPr>
          <w:rFonts w:ascii="宋体" w:hAnsi="宋体" w:eastAsia="宋体" w:cs="宋体"/>
          <w:b/>
          <w:sz w:val="72"/>
          <w:szCs w:val="72"/>
          <w:highlight w:val="none"/>
        </w:rPr>
        <w:t>竞争性磋商</w:t>
      </w:r>
    </w:p>
    <w:p>
      <w:pPr>
        <w:pStyle w:val="25"/>
        <w:jc w:val="center"/>
        <w:rPr>
          <w:rFonts w:hint="default" w:ascii="宋体" w:hAnsi="宋体" w:eastAsia="宋体" w:cs="宋体"/>
          <w:sz w:val="72"/>
          <w:szCs w:val="72"/>
          <w:highlight w:val="none"/>
        </w:rPr>
      </w:pPr>
      <w:r>
        <w:rPr>
          <w:rFonts w:ascii="宋体" w:hAnsi="宋体" w:eastAsia="宋体" w:cs="宋体"/>
          <w:b/>
          <w:sz w:val="72"/>
          <w:szCs w:val="72"/>
          <w:highlight w:val="none"/>
        </w:rPr>
        <w:t>响应文件</w:t>
      </w:r>
    </w:p>
    <w:p>
      <w:pPr>
        <w:pStyle w:val="25"/>
        <w:jc w:val="center"/>
        <w:rPr>
          <w:rFonts w:hint="eastAsia" w:ascii="宋体" w:hAnsi="宋体" w:eastAsia="宋体" w:cs="宋体"/>
          <w:b/>
          <w:sz w:val="36"/>
          <w:szCs w:val="36"/>
          <w:highlight w:val="none"/>
          <w:lang w:eastAsia="zh-CN"/>
        </w:rPr>
      </w:pPr>
      <w:r>
        <w:rPr>
          <w:rFonts w:ascii="宋体" w:hAnsi="宋体" w:eastAsia="宋体" w:cs="宋体"/>
          <w:b/>
          <w:sz w:val="36"/>
          <w:szCs w:val="36"/>
          <w:highlight w:val="none"/>
        </w:rPr>
        <w:t>（首次）</w:t>
      </w:r>
    </w:p>
    <w:p>
      <w:pPr>
        <w:pStyle w:val="25"/>
        <w:jc w:val="center"/>
        <w:rPr>
          <w:rFonts w:hint="eastAsia" w:ascii="宋体" w:hAnsi="宋体" w:eastAsia="宋体" w:cs="宋体"/>
          <w:b/>
          <w:sz w:val="36"/>
          <w:szCs w:val="36"/>
          <w:highlight w:val="none"/>
          <w:lang w:eastAsia="zh-CN"/>
        </w:rPr>
      </w:pPr>
    </w:p>
    <w:p>
      <w:pPr>
        <w:pStyle w:val="25"/>
        <w:jc w:val="center"/>
        <w:rPr>
          <w:rFonts w:hint="eastAsia" w:ascii="宋体" w:hAnsi="宋体" w:eastAsia="宋体" w:cs="宋体"/>
          <w:sz w:val="28"/>
          <w:szCs w:val="28"/>
          <w:highlight w:val="none"/>
          <w:lang w:eastAsia="zh-CN"/>
        </w:rPr>
      </w:pPr>
    </w:p>
    <w:p>
      <w:pPr>
        <w:pStyle w:val="25"/>
        <w:jc w:val="center"/>
        <w:rPr>
          <w:rFonts w:hint="eastAsia" w:ascii="宋体" w:hAnsi="宋体" w:eastAsia="宋体" w:cs="宋体"/>
          <w:sz w:val="28"/>
          <w:szCs w:val="28"/>
          <w:highlight w:val="none"/>
          <w:lang w:eastAsia="zh-CN"/>
        </w:rPr>
      </w:pPr>
    </w:p>
    <w:p>
      <w:pPr>
        <w:pStyle w:val="25"/>
        <w:jc w:val="center"/>
        <w:rPr>
          <w:rFonts w:hint="eastAsia" w:ascii="宋体" w:hAnsi="宋体" w:eastAsia="宋体" w:cs="宋体"/>
          <w:sz w:val="28"/>
          <w:szCs w:val="28"/>
          <w:highlight w:val="none"/>
          <w:lang w:eastAsia="zh-CN"/>
        </w:rPr>
      </w:pPr>
    </w:p>
    <w:p>
      <w:pPr>
        <w:pStyle w:val="25"/>
        <w:jc w:val="center"/>
        <w:rPr>
          <w:rFonts w:hint="eastAsia" w:ascii="宋体" w:hAnsi="宋体" w:eastAsia="宋体" w:cs="宋体"/>
          <w:sz w:val="28"/>
          <w:szCs w:val="28"/>
          <w:highlight w:val="none"/>
          <w:lang w:eastAsia="zh-CN"/>
        </w:rPr>
      </w:pPr>
    </w:p>
    <w:p>
      <w:pPr>
        <w:pStyle w:val="25"/>
        <w:jc w:val="both"/>
        <w:rPr>
          <w:rFonts w:hint="default" w:ascii="宋体" w:hAnsi="宋体" w:eastAsia="宋体" w:cs="宋体"/>
          <w:sz w:val="32"/>
          <w:szCs w:val="32"/>
          <w:highlight w:val="none"/>
        </w:rPr>
      </w:pPr>
      <w:r>
        <w:rPr>
          <w:rFonts w:ascii="宋体" w:hAnsi="宋体" w:eastAsia="宋体" w:cs="宋体"/>
          <w:b/>
          <w:sz w:val="32"/>
          <w:szCs w:val="32"/>
          <w:highlight w:val="none"/>
        </w:rPr>
        <w:t>项目名称：</w:t>
      </w:r>
      <w:r>
        <w:rPr>
          <w:rFonts w:ascii="宋体" w:hAnsi="宋体" w:eastAsia="宋体" w:cs="宋体"/>
          <w:b/>
          <w:sz w:val="32"/>
          <w:szCs w:val="32"/>
          <w:highlight w:val="none"/>
          <w:u w:val="single"/>
        </w:rPr>
        <w:t xml:space="preserve">                                  </w:t>
      </w:r>
    </w:p>
    <w:p>
      <w:pPr>
        <w:pStyle w:val="25"/>
        <w:jc w:val="both"/>
        <w:rPr>
          <w:rFonts w:hint="default" w:ascii="宋体" w:hAnsi="宋体" w:eastAsia="宋体" w:cs="宋体"/>
          <w:sz w:val="32"/>
          <w:szCs w:val="32"/>
          <w:highlight w:val="none"/>
        </w:rPr>
      </w:pPr>
      <w:r>
        <w:rPr>
          <w:rFonts w:ascii="宋体" w:hAnsi="宋体" w:eastAsia="宋体" w:cs="宋体"/>
          <w:b/>
          <w:sz w:val="32"/>
          <w:szCs w:val="32"/>
          <w:highlight w:val="none"/>
        </w:rPr>
        <w:t>项目编号：</w:t>
      </w:r>
      <w:r>
        <w:rPr>
          <w:rFonts w:ascii="宋体" w:hAnsi="宋体" w:eastAsia="宋体" w:cs="宋体"/>
          <w:b/>
          <w:sz w:val="32"/>
          <w:szCs w:val="32"/>
          <w:highlight w:val="none"/>
          <w:u w:val="single"/>
        </w:rPr>
        <w:t xml:space="preserve">                                  </w:t>
      </w:r>
    </w:p>
    <w:p>
      <w:pPr>
        <w:pStyle w:val="25"/>
        <w:jc w:val="both"/>
        <w:rPr>
          <w:rFonts w:hint="eastAsia" w:ascii="宋体" w:hAnsi="宋体" w:eastAsia="宋体" w:cs="宋体"/>
          <w:b/>
          <w:sz w:val="32"/>
          <w:szCs w:val="32"/>
          <w:highlight w:val="none"/>
          <w:u w:val="single"/>
          <w:lang w:eastAsia="zh-CN"/>
        </w:rPr>
      </w:pPr>
      <w:r>
        <w:rPr>
          <w:rFonts w:ascii="宋体" w:hAnsi="宋体" w:eastAsia="宋体" w:cs="宋体"/>
          <w:b/>
          <w:sz w:val="32"/>
          <w:szCs w:val="32"/>
          <w:highlight w:val="none"/>
        </w:rPr>
        <w:t>采</w:t>
      </w:r>
      <w:r>
        <w:rPr>
          <w:rFonts w:hint="eastAsia" w:ascii="宋体" w:hAnsi="宋体" w:eastAsia="宋体" w:cs="宋体"/>
          <w:b/>
          <w:sz w:val="32"/>
          <w:szCs w:val="32"/>
          <w:highlight w:val="none"/>
          <w:lang w:val="en-US" w:eastAsia="zh-CN"/>
        </w:rPr>
        <w:t xml:space="preserve"> </w:t>
      </w:r>
      <w:r>
        <w:rPr>
          <w:rFonts w:ascii="宋体" w:hAnsi="宋体" w:eastAsia="宋体" w:cs="宋体"/>
          <w:b/>
          <w:sz w:val="32"/>
          <w:szCs w:val="32"/>
          <w:highlight w:val="none"/>
        </w:rPr>
        <w:t>购</w:t>
      </w:r>
      <w:r>
        <w:rPr>
          <w:rFonts w:hint="eastAsia" w:ascii="宋体" w:hAnsi="宋体" w:eastAsia="宋体" w:cs="宋体"/>
          <w:b/>
          <w:sz w:val="32"/>
          <w:szCs w:val="32"/>
          <w:highlight w:val="none"/>
          <w:lang w:val="en-US" w:eastAsia="zh-CN"/>
        </w:rPr>
        <w:t xml:space="preserve"> </w:t>
      </w:r>
      <w:r>
        <w:rPr>
          <w:rFonts w:ascii="宋体" w:hAnsi="宋体" w:eastAsia="宋体" w:cs="宋体"/>
          <w:b/>
          <w:sz w:val="32"/>
          <w:szCs w:val="32"/>
          <w:highlight w:val="none"/>
        </w:rPr>
        <w:t>包：</w:t>
      </w:r>
      <w:r>
        <w:rPr>
          <w:rFonts w:ascii="宋体" w:hAnsi="宋体" w:eastAsia="宋体" w:cs="宋体"/>
          <w:b/>
          <w:sz w:val="32"/>
          <w:szCs w:val="32"/>
          <w:highlight w:val="none"/>
          <w:u w:val="single"/>
        </w:rPr>
        <w:t xml:space="preserve">                                  </w:t>
      </w:r>
    </w:p>
    <w:p>
      <w:pPr>
        <w:pStyle w:val="25"/>
        <w:jc w:val="both"/>
        <w:rPr>
          <w:rFonts w:hint="eastAsia" w:ascii="宋体" w:hAnsi="宋体" w:eastAsia="宋体" w:cs="宋体"/>
          <w:b/>
          <w:sz w:val="32"/>
          <w:szCs w:val="32"/>
          <w:highlight w:val="none"/>
          <w:u w:val="single"/>
          <w:lang w:eastAsia="zh-CN"/>
        </w:rPr>
      </w:pPr>
    </w:p>
    <w:p>
      <w:pPr>
        <w:pStyle w:val="25"/>
        <w:jc w:val="both"/>
        <w:rPr>
          <w:rFonts w:hint="eastAsia" w:ascii="宋体" w:hAnsi="宋体" w:eastAsia="宋体" w:cs="宋体"/>
          <w:sz w:val="32"/>
          <w:szCs w:val="32"/>
          <w:highlight w:val="none"/>
          <w:lang w:eastAsia="zh-CN"/>
        </w:rPr>
      </w:pPr>
    </w:p>
    <w:p>
      <w:pPr>
        <w:pStyle w:val="25"/>
        <w:jc w:val="both"/>
        <w:rPr>
          <w:rFonts w:hint="default" w:ascii="宋体" w:hAnsi="宋体" w:eastAsia="宋体" w:cs="宋体"/>
          <w:sz w:val="32"/>
          <w:szCs w:val="32"/>
          <w:highlight w:val="none"/>
        </w:rPr>
      </w:pPr>
      <w:r>
        <w:rPr>
          <w:rFonts w:ascii="宋体" w:hAnsi="宋体" w:eastAsia="宋体" w:cs="宋体"/>
          <w:b/>
          <w:sz w:val="32"/>
          <w:szCs w:val="32"/>
          <w:highlight w:val="none"/>
        </w:rPr>
        <w:t>供应商名称：</w:t>
      </w:r>
      <w:r>
        <w:rPr>
          <w:rFonts w:ascii="宋体" w:hAnsi="宋体" w:eastAsia="宋体" w:cs="宋体"/>
          <w:b/>
          <w:sz w:val="32"/>
          <w:szCs w:val="32"/>
          <w:highlight w:val="none"/>
          <w:u w:val="single"/>
        </w:rPr>
        <w:t xml:space="preserve">                                  </w:t>
      </w:r>
    </w:p>
    <w:p>
      <w:pPr>
        <w:pStyle w:val="25"/>
        <w:jc w:val="both"/>
        <w:rPr>
          <w:rFonts w:hint="default" w:ascii="宋体" w:hAnsi="宋体" w:eastAsia="宋体" w:cs="宋体"/>
          <w:sz w:val="32"/>
          <w:szCs w:val="32"/>
          <w:highlight w:val="none"/>
        </w:rPr>
      </w:pPr>
      <w:r>
        <w:rPr>
          <w:rFonts w:ascii="宋体" w:hAnsi="宋体" w:eastAsia="宋体" w:cs="宋体"/>
          <w:b/>
          <w:sz w:val="32"/>
          <w:szCs w:val="32"/>
          <w:highlight w:val="none"/>
        </w:rPr>
        <w:t>日      期：</w:t>
      </w:r>
      <w:r>
        <w:rPr>
          <w:rFonts w:ascii="宋体" w:hAnsi="宋体" w:eastAsia="宋体" w:cs="宋体"/>
          <w:b/>
          <w:sz w:val="32"/>
          <w:szCs w:val="32"/>
          <w:highlight w:val="none"/>
          <w:u w:val="single"/>
        </w:rPr>
        <w:t xml:space="preserve">                                  </w:t>
      </w:r>
    </w:p>
    <w:p>
      <w:pPr>
        <w:pStyle w:val="25"/>
        <w:rPr>
          <w:rFonts w:hint="default" w:ascii="宋体" w:hAnsi="宋体" w:eastAsia="宋体" w:cs="宋体"/>
          <w:sz w:val="24"/>
          <w:szCs w:val="24"/>
          <w:highlight w:val="none"/>
        </w:rPr>
      </w:pPr>
    </w:p>
    <w:p>
      <w:pPr>
        <w:pStyle w:val="25"/>
        <w:rPr>
          <w:rFonts w:hint="default" w:ascii="宋体" w:hAnsi="宋体" w:eastAsia="宋体" w:cs="宋体"/>
          <w:sz w:val="24"/>
          <w:szCs w:val="24"/>
          <w:highlight w:val="none"/>
        </w:rPr>
      </w:pPr>
      <w:r>
        <w:rPr>
          <w:rFonts w:ascii="宋体" w:hAnsi="宋体" w:eastAsia="宋体" w:cs="宋体"/>
          <w:sz w:val="24"/>
          <w:szCs w:val="24"/>
          <w:highlight w:val="none"/>
        </w:rPr>
        <w:t xml:space="preserve"> </w:t>
      </w:r>
    </w:p>
    <w:p>
      <w:pPr>
        <w:rPr>
          <w:rFonts w:ascii="宋体" w:hAnsi="宋体" w:eastAsia="宋体" w:cs="宋体"/>
          <w:b/>
          <w:sz w:val="24"/>
          <w:highlight w:val="none"/>
        </w:rPr>
      </w:pPr>
      <w:r>
        <w:rPr>
          <w:rFonts w:hint="eastAsia" w:ascii="宋体" w:hAnsi="宋体" w:eastAsia="宋体" w:cs="宋体"/>
          <w:b/>
          <w:sz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目 录</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附件1：响应函</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附件2：报价一览表（含详细报价书）</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附件3：资格证明文件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附件4：磋商保证金凭证</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附件5：技术和商务偏离表</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附件6：相关技术、商务、服务响应承诺及资料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附件7：供应商提交的其他资料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附件8：要求作为响应文件组成部分的其他内容（若有）</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附件1 磋商响应声明</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1.根据贵方为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项目（项目编号）: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的采购公告（或采购邀请书），我方签字代表</w:t>
      </w:r>
      <w:r>
        <w:rPr>
          <w:rFonts w:hint="eastAsia" w:ascii="宋体" w:hAnsi="宋体" w:eastAsia="宋体" w:cs="宋体"/>
          <w:sz w:val="24"/>
          <w:szCs w:val="24"/>
          <w:highlight w:val="none"/>
          <w:u w:val="single"/>
        </w:rPr>
        <w:t xml:space="preserve"> （全名、职务）</w:t>
      </w:r>
      <w:r>
        <w:rPr>
          <w:rFonts w:hint="eastAsia" w:ascii="宋体" w:hAnsi="宋体" w:eastAsia="宋体" w:cs="宋体"/>
          <w:sz w:val="24"/>
          <w:szCs w:val="24"/>
          <w:highlight w:val="none"/>
        </w:rPr>
        <w:t>经正式授权并代表的供应商</w:t>
      </w:r>
      <w:r>
        <w:rPr>
          <w:rFonts w:hint="eastAsia" w:ascii="宋体" w:hAnsi="宋体" w:eastAsia="宋体" w:cs="宋体"/>
          <w:sz w:val="24"/>
          <w:szCs w:val="24"/>
          <w:highlight w:val="none"/>
          <w:u w:val="single"/>
        </w:rPr>
        <w:t>（供应商名称、地址）</w:t>
      </w:r>
      <w:r>
        <w:rPr>
          <w:rFonts w:hint="eastAsia" w:ascii="宋体" w:hAnsi="宋体" w:eastAsia="宋体" w:cs="宋体"/>
          <w:sz w:val="24"/>
          <w:szCs w:val="24"/>
          <w:highlight w:val="none"/>
        </w:rPr>
        <w:t>提交包含下述内容的首次响应纸质文件正本</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套，副本</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套及电子文档</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（1）响应函</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（2）报价一览表（含详细报价书）</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（3）资格证明文件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（4）技术和商务偏离表</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（5）相关技术、商务、服务响应承诺及资料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（6）供应商提交的其他资料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（7）按照磋商文件规定，要求作为响应文件组成部分的其他内容（若有）</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2.据此函，我方宣布响应承诺如下：</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2.5我方愿意向贵方提供任何与本项目磋商采购有关的数据或资料。若贵方需要，我方愿意提供我方作出的一切承诺的证明材料。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2.7我方承诺响应文件所提供的全部资料真实可靠，并接受磋商小组、采购人、采购代理机构、监管部门进一步审查其中任何资料真实性的要求</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 xml:space="preserve"> 传真号：</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联系电话（固定电话和移动电话）：</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供应商代表电子信箱：</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（全称并加盖公章）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附件2 报价一览表</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（全称加盖单位公章）</w:t>
      </w:r>
      <w:r>
        <w:rPr>
          <w:rFonts w:hint="eastAsia" w:ascii="宋体" w:hAnsi="宋体" w:eastAsia="宋体" w:cs="宋体"/>
          <w:sz w:val="24"/>
          <w:szCs w:val="24"/>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货币单位：元人民币</w:t>
      </w:r>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1251"/>
        <w:gridCol w:w="2464"/>
        <w:gridCol w:w="2124"/>
        <w:gridCol w:w="21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8"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699"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最终</w:t>
            </w:r>
            <w:r>
              <w:rPr>
                <w:rFonts w:hint="eastAsia" w:ascii="宋体" w:hAnsi="宋体" w:eastAsia="宋体" w:cs="宋体"/>
                <w:sz w:val="24"/>
                <w:szCs w:val="24"/>
                <w:highlight w:val="none"/>
              </w:rPr>
              <w:t>报价</w:t>
            </w:r>
          </w:p>
        </w:tc>
        <w:tc>
          <w:tcPr>
            <w:tcW w:w="1377"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交货期/工期/项目完成时间/服务时间</w:t>
            </w:r>
          </w:p>
        </w:tc>
        <w:tc>
          <w:tcPr>
            <w:tcW w:w="1187"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1187"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8"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9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377"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187"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187"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8"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9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377"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187"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187"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8"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9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377"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187"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187"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bl>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备注：详细报价书另纸详列。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附件2-1 详细报价书</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lang w:eastAsia="zh-CN"/>
        </w:rPr>
        <w:t>）化学耗材</w:t>
      </w:r>
      <w:r>
        <w:rPr>
          <w:rFonts w:hint="eastAsia" w:ascii="宋体" w:hAnsi="宋体" w:eastAsia="宋体" w:cs="宋体"/>
          <w:b/>
          <w:bCs/>
          <w:color w:val="auto"/>
          <w:kern w:val="0"/>
          <w:sz w:val="24"/>
          <w:szCs w:val="24"/>
          <w:highlight w:val="none"/>
        </w:rPr>
        <w:t>品目表</w:t>
      </w:r>
    </w:p>
    <w:tbl>
      <w:tblPr>
        <w:tblStyle w:val="18"/>
        <w:tblW w:w="9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1751"/>
        <w:gridCol w:w="3966"/>
        <w:gridCol w:w="935"/>
        <w:gridCol w:w="1208"/>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项号</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产品名称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产品规格</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品牌</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1-14 80片/本</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0.5-5 80片/本</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5.5-9 80片/本</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8.2-10 80片/本</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0-2.5 80片/本</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9.5-13 80片/本</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0-2.5 100条/盒</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2.5-4.5 100条/盒</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6.5-10 100条/盒</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7.5-14 100条/盒</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pH试纸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11-13 100条/盒</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防护口罩</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N95带呼吸阀</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普通医用口罩</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独立包装，10个/包</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安瓿瓶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5ml 透明</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玻璃试剂瓶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60ml，白或棕，大口或小口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玻璃试剂瓶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125ml，白或棕，大口或小口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玻璃试剂瓶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250ml，白或棕，大口或小口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玻璃试剂瓶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500ml，白或棕，大口或小口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玻璃试剂瓶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1L，白或棕，大口或小口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玻璃试剂瓶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2.5L，白或棕，大口或小口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玻璃试剂瓶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5L，白或棕，大口或小口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砝码</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F1等级 1mg-200g 23个/套 CC-2571-(07-23)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PFA容量瓶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25mL 81-0428-01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PFA容量瓶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 81-0428-02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PFA容量瓶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81-0428-03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 xml:space="preserve">10mL </w:t>
            </w:r>
            <w:r>
              <w:rPr>
                <w:rStyle w:val="38"/>
                <w:rFonts w:hint="eastAsia" w:ascii="宋体" w:hAnsi="宋体" w:eastAsia="宋体" w:cs="宋体"/>
                <w:sz w:val="24"/>
                <w:szCs w:val="24"/>
                <w:highlight w:val="none"/>
                <w:lang w:val="en-US" w:eastAsia="zh-CN" w:bidi="ar"/>
              </w:rPr>
              <w:t>±</w:t>
            </w:r>
            <w:r>
              <w:rPr>
                <w:rStyle w:val="37"/>
                <w:rFonts w:hint="eastAsia" w:ascii="宋体" w:hAnsi="宋体" w:eastAsia="宋体" w:cs="宋体"/>
                <w:sz w:val="24"/>
                <w:szCs w:val="24"/>
                <w:highlight w:val="none"/>
                <w:lang w:val="en-US" w:eastAsia="zh-CN" w:bidi="ar"/>
              </w:rPr>
              <w:t>0.02ml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25mL ±0.05ml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 ±0.05ml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±0.1ml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200mL ±0.15ml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 ±0.15ml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±0.25ml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1000mL ±0.4ml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 白1-8565-05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 棕1-8565-25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棕1-8565-26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白1-8565-06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 白1-8565-08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白 1-8565-09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棕1-8565-29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1000mL 白 1-8565-10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高精度玻璃容量瓶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1000mL 棕1-8565-30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白实验服</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加厚布料 松紧口长袖，XS-5XL,绣省辐射站</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白实验服</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短袖,XS-5XL，绣省辐射站</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防护衣</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防静电反穿衣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护面罩</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医用高清面罩</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结晶皿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φ60mm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结晶皿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φ70mm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结晶皿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φ125mm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结晶皿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结晶皿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φ180mm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玻璃表面皿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φ70mm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玻璃表面皿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φ80mm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玻璃表面皿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φ90mm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玻璃表面皿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φ100mm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φ3mm，长10cm，两头磨圆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φ3mm，长15cm，两头磨圆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φ3-4mm，长20cm，两头磨圆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φ3-4mm 长30cm，两头磨圆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φ4-5mm 长15cm，两头磨圆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φ6-7mm，长40-45cm，两头磨圆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φ8-9mm，长20cm，两头磨圆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φ8-9mm，长45cm，两头磨圆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玻璃纤维棒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φ3-4mm 长40cm，两头磨圆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φ40mm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φ60mm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φ70mm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φ75mm 厚款</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φ90mm 厚款</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φ120mm 厚款</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φ150mm 厚款</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瓷布氏漏斗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φ60mm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瓷布氏漏斗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φ80mm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瓷布氏漏斗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φ100mm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瓷布氏漏斗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φ120mm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瓷布氏漏斗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聚四氟布氏漏斗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φ80mm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聚四氟布氏漏斗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φ100mm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聚四氟布氏漏斗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φ120mm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10cm进口，26mm出口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25cm进口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分液漏斗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聚四氟塞及节门，100mL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分液漏斗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聚四氟塞及节门，250mL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分液漏斗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聚四氟塞及节门，500ml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分液漏斗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聚四氟塞及节门，1000ml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不锈钢可拆漏斗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医用级不锈钢，按锶90分析标准定制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脱脂棉</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玻璃棉</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玻璃震荡珠</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7-8mm 100g/袋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玻璃补料瓶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100ml螺口瓶，不锈钢双通口6mm接口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玻璃补料瓶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2000ml螺口瓶，不锈钢三通口8mm接口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具塞三角烧瓶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具塞三角烧瓶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具塞三角烧瓶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具塞三角烧瓶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不锈钢管箍</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适合直径40-60mm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塑料取样铲</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 容量100g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塑料取样铲</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中号 容量200g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不锈钢取样铲</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 容量100g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不锈钢取样铲</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中号 容量200g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树脂勺</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9-867-01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长尾圆头勺</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不锈钢20cm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尖头勺</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不锈钢10-15cm 3支/套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塑料勺</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约15cm长</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搅拌桨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PTFE，4叶螺旋，叶展100mm*杆径8mm*长350mm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搅拌桨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PTFE，4叶螺旋，叶展120mm*杆径10mm*长550mm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4叶螺旋，叶展120mm*杆径8mm*长400mm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4叶螺旋，叶展120mm*杆径8mm*长500mm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沥水架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塑料镊子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小号，尖头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不锈钢镊子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小号，尖头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不锈钢镊子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14cm直圆头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不锈钢镊子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14cm弯头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不锈钢镊子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20cm直圆头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不锈钢圆环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内径23mm外径29mm高2mm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人字梯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5层1.5m，铝合金</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擦镜纸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10*15cm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擦镜纸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B6-6689-01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漏斗架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亚克力材质，4孔，4*75mm玻璃三角漏斗，高度可调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漏斗架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亚克力材质，2孔，2*150mm玻璃三角漏斗，高度可调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分液漏斗架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亚克力材质，大4孔, 4*5OOML，高度可调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分液漏斗架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亚克力材质，大2孔，2*250ML，高度可调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分液漏斗架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亚克力材质，大2孔，2*500ML，高度可调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分液漏斗架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CC-6825-02,1000ML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塑料称量盘（船型）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塑料称量盘（船型）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中号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塑料称量盘（船型）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称量纸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75*75mm，500张/包 CC-4496-02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称量皿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70*35mm低型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称量皿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40*25mm低型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上嘴抽滤瓶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上嘴抽滤瓶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上嘴抽滤瓶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上嘴抽滤瓶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抽水装置</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食品级电动12v2.5a 可调电源，S-6换水导管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抽纸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大号210*210mm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擦手纸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三折商用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洗耳球</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小号，橡胶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洗耳球</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中号，橡胶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洗耳球</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大号，橡胶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超纯水仪耗材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科治KZ-60L 含安装</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超纯水仪耗材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优普UPH-I-80L 含安装</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超纯水仪耗材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优普UPR-II 含安装</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水机压力水箱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水机压力水箱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40L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储水桶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圆形蓝色透明PC材质5L 小口螺旋盖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储水桶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正方形蓝色透明PC材质24L 广口螺旋盖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滴定台架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大理石底座28*15cm，高55cm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方铁架台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 60杆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方铁架台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中号 80杆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方铁架台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 100杆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三足铁架台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 85杆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三足铁架台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中号 110杆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三足铁架台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 135杆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重型铁架台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弧状底，搅拌支架杆高60-65cm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试管架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12孔</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玻璃试管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φ25*100mm 加厚玻璃2mm定制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大圆桶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上口41cm下底32cm高45cm，白或蓝，含盖子</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大圆桶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上口46cm下底35cm高50cm，白或蓝，含盖子</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冷冻管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1.8ml 用于装剂量片</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冷冻管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一次性滴管/吸管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10ml 蛇腹式，10支/包，5-5652-05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一次性滴管/吸管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3ml，100支/包</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玻璃滴瓶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125ml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玻璃滴瓶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 白或棕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有机玻璃样品支架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圆圈型，内径52mm外径69mm，高10mm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有机玻璃样品支架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圆圈型，内径57mm外径69mm，高10mm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有机玻璃样品支架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圆柱形 直径15cm，高25cm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样品盒支架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ABS或有机玻璃，圆盖子型，圆盖内径105mm，盖高10mm，盖顶面厚1mm，正中心挖空（Ø43mm正圆形）</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样品瓶支架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有机玻璃 20ml瓶 CC-4398-01 30孔</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砂芯层析柱</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30*500mm，聚四氟乙烯塞</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万用电炉</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可调温度</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封闭式电炉</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1500w 直径18cm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电炉盖</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外方内圆耐火砖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电热套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98-I-BN</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电热套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1000ml 98-I-BN</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电源适配器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配赛多利斯天平6971969 14.5v DC500MA</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防尘罩</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有机玻璃罩天平</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179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便携天平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200g/0.001g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179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便携天平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600g/0.01g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丁腈手套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加厚型 100只/盒 S-M-L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乳胶手套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耐用型 100只/盒 S-M-L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防割防滑手套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均码</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耐高温手套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耐温500度 均码</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劳保棉纱手套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贴手灵活 均码 C2-9815-01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锶用玻璃色层柱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储液150mL，聚四氟塞，柱直径φ10mm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锶用玻璃色层柱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储液150mL，聚四氟塞，柱直径φ12mm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方桶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HDPE,2.5L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方桶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HDPE,10L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189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方桶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HDPE,15L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方桶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HDPE,25L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温湿度计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数显 HTC-1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防潮干燥样品柜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105L 电子除湿</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防潮干燥样品柜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BG-1KPTS,立式带隔层,PET材质 1-6003-08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电热干燥箱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35*35*35cm 101-00B</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绝缘胶带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1600,18MM宽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防水胶带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PVC材质 18MM*10M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特氟龙胶带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棕 13mm*10m ACG825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199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特氟龙胶带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棕 25mm*10m ACG1325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199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气体干燥管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 长度20cm 内径 18mm-20mm 四氟盖6mm宝塔头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气体干燥管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有机玻璃 长度20cm 内径 18mm-20mm 四氟盖6mm宝塔头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吸吹清洁器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3600mA充电式 4000PA</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磨粉器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容量≥500g JYS-M01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磨粉器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容量≥200g FSJ-A03D1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磨粉器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容量≤50g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搅拌器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NY-MS5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搅拌器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JB-260-SH</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双联磁力搅拌器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2L*2 MN-2S</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209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加热磁力搅拌器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JK-DMS-H</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209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加热磁力搅拌器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JK-MSH-5L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单孔磁力水浴锅</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HCJ-E</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双孔独立水浴锅</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DK-8D</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铁氟龙加热管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蚊香型220v2kw</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微波消解罐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55ML 内罐+防爆罐</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圆型承重托盘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万向轮，托盘内径40cm，承重150kg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封口膜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PM-996 10CM*38m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15ml带盖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25ml带盖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219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50ml带盖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219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四氟坩埚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20ml带盖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四氟坩埚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30ml带盖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四氟坩埚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50ml带盖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坩埚架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6孔 镍铬丝</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坩埚架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9孔 镍铬丝</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坩埚钳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坩埚钳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坩埚钳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坩埚钳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229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夹钳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烧杯用（100-1000mL）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229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止水夹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弹簧</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蝴蝶夹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铝制双侧</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两爪夹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三爪夹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德式十字夹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夹持宽度20mm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特大十字夹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夹持宽度29mm，5-5622-01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固定夹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有卡爪旋转式 1-7493-04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硅胶刮板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约25cm长</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TPE刮板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42cm长 4-3068-03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239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硅胶刷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小号油刷长21cm宽5.5cm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239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型号589/3,φ110mm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型号1442-150，φ150mm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型号1442-185，φ185mm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定量滤纸(快速)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定量滤纸(快速)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定量滤纸(慢速）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定量滤纸(慢速）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定量滤纸(中速）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φ7cm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定量滤纸(中速）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φ9cm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249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定量滤纸(中速）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φ11cm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249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定量滤纸(中速）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φ12.5cm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定量滤纸(中速）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定量滤纸(中速）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定性滤纸（快速）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定性滤纸（快速）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定性滤纸（慢速）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定性滤纸（慢速）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定性滤纸（中速）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定性滤纸（中速）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259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离心管/离心桶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45ml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259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离心管/离心桶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圆底大插口38mm*107mm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离心管/离心桶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 大口62mm*118mm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离心管/离心桶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 卢湘仪 TG19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离心管/离心桶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卢湘仪 TG19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离心管/离心桶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卢湘仪 TG19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离心管/离心桶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750ml 卢湘仪 TG19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离心管/离心桶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1000ml大口 卢湘仪 GL-12M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 6孔 有机玻璃材质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6孔 有机玻璃材质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269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210ml 圆底 6-558-05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200ml圆底 C3-6718-05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400ml 圆底 C3-6718-06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750ml圆底 C3-6718-07</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圆底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 圆底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 圆底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瓷蒸发皿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5L 圆底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圆底 口径150mm 加厚玻璃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圆底 口径120mm 加厚玻璃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279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圆底 口径90mm 加厚玻璃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279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圆底 口径60mm 加厚玻璃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石英蒸发皿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圆底 200ml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石英蒸发皿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圆底 300ml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石英蒸发皿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圆底 500ml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培养皿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φ12cm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培养皿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培养皿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加厚海绵百洁擦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百洁布层加海绵层，5个/包</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克林擦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100个/箱</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289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长柄海绵刷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60cm长柄，海绵刷头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289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红外灯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100w 可定时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红外温枪</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多点测温，GIS500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手动虹吸管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塑料材质，手捏即可吸油或吸水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无油泵</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VP100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无油泵</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VP280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阻水器/消音器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BS-02250 PTFE0.22um 配套真空泵使用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针式过滤器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25*0.22MCE</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针式过滤器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25*0.22PES</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手动液压窄腿货叉</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手动堆高货叉</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万向轮 400kg 1.2m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振动筛</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主机加底盖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不锈钢筛网</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直径20cm 60目</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不锈钢筛网</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直径20cm 80目</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不锈钢筛网</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直径20cm 100目</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稳压器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TND1-1.5 自动交流</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氚测量瓶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100ml，适配日本ALOKA液闪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氚测量瓶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20ml，产品号：6008117，1000个/箱</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碳测量瓶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20ml，低钾玻璃瓶，产品号：6000128，500个/箱</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螺口玻璃瓶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5-098-10，110mL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309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酒精喷灯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座式</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309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聚四氟薄膜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防酸碱垫布 尺寸0.05mm*300mm*3M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聚四氟回收磁器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直棒型30cm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聚四氟回收磁器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韧性线圈型60cm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1cm直筒C型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2cm直筒C型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4cm直筒C型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6cm直筒C型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8cm直筒C型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10cm直筒C型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319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3cm 十字型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319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5cm 十字型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2cm橄榄A型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4cm橄榄A型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聚四氟搅拌磁子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6cm橄榄A型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可拆套塞</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9层可拆，橡胶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可拆套塞</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9层可拆，硅胶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空柱管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EC2-100-U、2ML 100个/包</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玻璃扩散器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尺寸按放射性镭的分析方法定制，加厚玻璃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扩散器架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8孔 有机玻璃材质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329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25mL 白色</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329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50mL白色</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 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 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 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25mL 棕色</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50mL棕色</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339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 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339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 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蓝盖玻璃瓶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 棕</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蒸馏装置</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500ml圆底蒸馏瓶连接18cm蛇形冷凝管，接口14/23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蒸馏装置</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1000ml圆底蒸馏瓶连接18cm蛇形冷凝管，接口14/23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冷凝管变径接头</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19转14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玻璃三角量杯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玻璃三角量杯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玻璃三角量杯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349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349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359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359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塑料量筒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玛瑙研钵套装</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Ø14CM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玛瑙研钵套装</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Ø10CM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容量瓶刷，5种大小规格/套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量筒刷，5种大小规格/套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三角瓶刷，5种大小规格/套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烧杯刷，5种大小规格/套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试管刷，5种大小规格/套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369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试剂瓶刷，5种大小规格/套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刻度吸管刷，5种大小规格/套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细管刷，5种大小规格/套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最小号化妆刷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大号圆头化妆刷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木柄扁头 2寸</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毛刷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木柄弯头 2寸</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能谱马林杯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 ABS 材质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能谱马林杯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 PP材质 内直径101.4mm，内高76.8mm，外直径152mm，加盖高162.3mm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能谱样品盒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直径75mm，高70mm，硅胶密封圈，平均净重72g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379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能谱样品盒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直径75mm，高35mm，硅胶密封圈，平均净重48g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379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能谱样品盒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直径42mm，高22mm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尼龙扎带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4*250mm，250根/袋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尼龙扎带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5*350mm，250根/袋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尼龙滤布</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 xml:space="preserve"> 1000目 1米宽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碘盒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TC-45，10个/袋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玻璃纤维滤膜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K-49型 φ7.5cm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玻璃纤维滤膜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K-49型 φ5cm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PVC管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φ5*8mm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硅胶管(不透明）</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φ6*9mm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389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硅胶管(不透明）</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φ7*13mm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389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硅胶管(不透明）</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φ8*14mm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硅胶管(不透明）</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φ9*13mm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硅胶管(不透明）</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φ10*18mm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硅胶管(不透明）</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φ12*18mm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蠕动管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内径6.4mm外径9.6mm NORPRENE</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乳胶管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φ5*7mm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乳胶管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φ6*9mm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乳胶管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φ8*12mm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白橡胶管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可抽真空 φ5*10mm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白橡胶管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 xml:space="preserve"> φ6*9mm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白橡胶管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可抽真空 φ6*16mm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白橡胶管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可抽真空 φ8*16mm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白橡胶管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可抽真空 φ10*16mm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白橡胶管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可抽真空 φ12*18mm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白橡胶管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可抽真空 φ12*22mm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总放仪器进气管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内径1.6mm外径3.2mm 管壁厚 0.8mm 长度15m/盒 TYGON B-44-4X SAINT-GOBAIN 配套MPC9604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燃气管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带钢丝 9*16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气瓶标识牌</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“空”配链子/“满”配链子</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气瓶减压阀</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R82IN-80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409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气瓶减压阀</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禁油 0.25Mpa 25Mpa 152IN-15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409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气瓶减压阀</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VSR-IES-2---4-G5/8-P-P-00-B-B</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气瓶架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40L，带轮子，可直立存放气瓶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扳手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适合装卸气瓶接口</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气瓶柜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单瓶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气瓶柜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双瓶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气溶胶滤膜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聚丙烯610*505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气溶胶滤膜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聚丙烯570*470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气溶胶滤膜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聚丙烯270*270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气溶胶滤膜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聚丙烯262*206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419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气溶胶滤膜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聚丙烯298*229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419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气溶胶滤膜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570*460 20g/M2（每张带支撑层）</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气溶胶滤膜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470*570 30g/M2（10%带支撑层）</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气溶胶滤膜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610*500 40g/M2（10%带支撑层）</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气体取样球</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乳胶球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气体取样球</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橡胶球7号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热释光剂量片</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GR200A,均匀性1%,刻度系数1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容量瓶架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亚克力材质，10ml*12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容量瓶架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亚克力材质，25ml*12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容量瓶架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亚克力材质，50ml*10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容量瓶架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亚克力材质，100ml*8</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429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熔封机</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RF-1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实验圆凳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PU 升降 铝合金脚垫</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试剂柜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PP 1.8m高*0.9m双门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抽滤缓冲瓶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四氟减压阀</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砂芯抽滤装置</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含抽滤杯、砂芯接头、1L 滤瓶、鸭嘴夹</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G4-30mL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G4-50mL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G4-62mL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砂芯坩埚</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G4-100mL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439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G4-60mL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439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G4-100mL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G4-500ml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G4-1000ml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砂芯漏斗</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G4-1500ml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砂轮片</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φ2cm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180目</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800目</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1500目</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砂纸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2000目</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449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449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459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459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 带玻璃手柄</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 带玻璃手柄</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塑料量杯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带刻度、手柄</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塑料量杯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1L 带刻度、手柄</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塑料量杯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 带刻度、手柄</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 含盖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含盖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聚四氟烧杯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200ml 含盖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三角玻璃烧杯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125ml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469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三角玻璃烧杯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三角玻璃烧杯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升降台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 30*30cm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升降台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 25*25cm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升降台</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 20*20cm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石英比色皿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适用于杭州大吉光电WGJ-Ⅲ型号微量铀分析仪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石英比色皿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适用于北京核地HD-3025微量铀分析仪</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石英比色皿</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CC-5338-01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透明方形乐扣盒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透明方形乐扣盒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479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透明方形乐扣盒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479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透明带滑轮收纳箱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8L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透明带滑轮收纳箱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透明带滑轮收纳箱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透明带滑轮收纳箱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55L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陶瓷剪刀</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手术剪刀</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14cm 直圆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手术剪刀</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16cm 直圆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手术剪刀</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18cm 直圆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强力剪刀</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大号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489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园艺剪</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175*45mm 不锈钢</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489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酸碱缸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20L 方形PP</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酸碱缸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6L 方形PP</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蓝色长孔周转筐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 60*40*30cm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零件整理箱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87*80*34cm 3*9抽屉式</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载物架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不锈钢30*80*150 四层</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载物架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200*50*200 600kg 四层主架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全静音推车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单层48*72 150kg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全静音推车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单层 50*82 200kg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全静音推车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单层90*60 400kg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全静音推车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单层 120*75 600kg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499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全静音推车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双层护栏 60*90 300kg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全静音推车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双层护栏 50*80 250kg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全静音推车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三层护栏 48*72 150kg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全静音推车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三层护栏 60*90 300kg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推车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液压升降 150kg 台面45*70cm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搪瓷托盘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25*30cm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搪瓷托盘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35*50cm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搪瓷托盘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50*70cm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不锈钢方盘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35*45*5cm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509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不锈钢方盘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32*22*5cm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509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塑料方盘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 xml:space="preserve"> 特厚白色33cm*25cm*21cm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塑料方盘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 xml:space="preserve"> 特厚白色45cm*35cm*12cm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试剂托盘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黄色PP，6格（瓶）可手提 3-183-01</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文丘管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石英材质用于氚碳燃烧炉（外径4.5cm高+7.5cm）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五金工具箱</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手工维修套装 25件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西林瓶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西林瓶盖</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西林瓶开盖钳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西林瓶压盖钳</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519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吸水器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P-08电动</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519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潜水泵</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扬程4米、4000L/H 配水管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洗瓶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窄口尖嘴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洗瓶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250ml 窄口尖嘴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洗瓶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大口 尖嘴 64-3687-19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安全洗瓶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 3-6867-02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气体洗瓶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pp 材质 三通盖 500ml整套配管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橡皮锤</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压片模具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Cr12钢，内Ø69mm 模垫、凹模、冲头、脱模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压片模具</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Cr12钢，内Ø50mm 模垫、凹模、冲头、脱模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529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样品测量盘</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φ51mm低本底耐腐蚀不锈钢，适用总放MPC9604/LB770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529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医用一次性注射器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医用一次性注射器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医用一次性注射器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针型进样器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液相平头 100μL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针型进样器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液相平头 50μL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针型进样器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液相平头 10μL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分液器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0-25ml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手动单道移液器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手动单道移液器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0.5-5mL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539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手动单道移液器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100-1000ul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539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手动单道移液器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10-100ul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手动单道移液器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5-50ul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手动单道移液器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0.5-10ul</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移液枪头</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10μL，96支/盒</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移液枪头</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200ul，96支/盒</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移液枪头</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1mL,1000支/袋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移液枪头</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5ml,100支/袋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移液枪头</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10mL,250支/袋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圆银片</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直径23mm*0.5mm 99.999%</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549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游标卡尺</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0-150mm，0.02mm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549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塑料样品盒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圆形透明Ø42*22mm，按压盖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玻璃样品瓶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透明15ml 螺口盖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玻璃样品瓶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透明20ml 螺口盖，口径大于12mm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玻璃样品瓶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透明30ml，螺口盖，口径大于12mm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聚乙烯圆塑料瓶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500ml大口螺口盖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聚乙烯圆塑料瓶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1000ml大口螺口盖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聚乙烯圆塑料瓶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100ml窄口螺口盖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聚乙烯圆塑料瓶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500ml窄口螺口盖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聚乙烯圆塑料瓶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1000ml窄口螺口盖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559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聚乙烯圆塑料瓶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2L窄口螺口盖</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559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定制圆标签纸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直径70mm ，不干胶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定制试剂标签纸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4cm*7cm不干胶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定制采样标签贴纸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10cm*7cm，不干胶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透明长度贴纸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温度贴纸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70-100度，10张/本</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圆型玻璃干燥器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φ30cm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圆型玻璃干燥器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φ35cm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圆型玻璃干燥器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φ40cm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自动增压泵/屏蔽泵</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自来水增压，2.4t，10m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569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小热水器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5升储水式</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569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液压油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46号 4升/件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放射性核素萃取分离专用仪上样座</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12位60ML上样座（特制版）</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放射性核素萃取分离专用仪上样座</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20位15ML上样座（特制版）</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放射性核素萃取分离专用仪收集座</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20位2ML串柱收集座（特制版）</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断点保鲜膜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20cm宽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断点保鲜膜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30cm宽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断点保鲜膜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40cm宽</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加厚保鲜袋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15*25cm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加厚保鲜袋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20*30cm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579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加厚保鲜袋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35*25cm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579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加厚保鲜袋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30*40cm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加厚保鲜袋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35*45cm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耐热密实袋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PE食品级27*28cm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耐热密实袋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PE食品级21*18cm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耐热密实袋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PE食品级13*13cm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自封袋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20丝 6*8cm 2号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自封袋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13*19cm，12丝，100个/袋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自封袋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20*28cm，20丝，100个/袋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自封袋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24*34cm，12丝，100个/袋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589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自封袋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34*45cm，12丝，100个/袋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589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自封袋</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7*10cm，12丝，100个/袋</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循环水泵</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SHZ-D(III) 不锈钢</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机头控制器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LC-OES-200SH 配件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真空硅脂</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150g</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真空泵油</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UL19 4升/件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氚碳样品舟</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定做，25cm，耐高温玻璃(详见图片1、2）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高温氧化熔炉耐火玻璃管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pyrolyser高温分解炉适配（详见图片3、4）</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UPS电池</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sent，12V24AH</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锅铲</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15cm，不锈钢</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599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勺子</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15cm，不锈钢</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599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伸缩直梯</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3.5m，铝合金</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601</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塑料圆水桶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40L，桶壁光滑无凹槽台阶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602</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试剂瓶整理箱（带盖）</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有分隔固定存放500mL试剂（例如500mL硝酸）</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围裙</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牛仔布65*100cm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一次性套袖</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pe材质，100支/袋，大约440*220mm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石英玻璃棉</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耐高温1000℃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搅拌棒</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两叶~四叶，聚四氟乙烯，70cm长</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浮子气体流量计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30-300mL/min</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球形干燥管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加厚玻璃，容量25mL，管接口外直径6mm（详见图片5）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609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白色双面防水油纸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7.5cm*7.5cm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609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分样筛</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20 µm – 25 mm范围内 与</w:t>
            </w:r>
            <w:r>
              <w:rPr>
                <w:rFonts w:hint="eastAsia" w:ascii="宋体" w:hAnsi="宋体" w:eastAsia="宋体" w:cs="宋体"/>
                <w:i w:val="0"/>
                <w:iCs w:val="0"/>
                <w:color w:val="000000"/>
                <w:kern w:val="0"/>
                <w:sz w:val="24"/>
                <w:szCs w:val="24"/>
                <w:highlight w:val="none"/>
                <w:u w:val="none"/>
                <w:lang w:val="en-US" w:eastAsia="zh-CN" w:bidi="ar"/>
              </w:rPr>
              <w:t>AS 200 control 配套</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610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分样筛</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0.03~2.5mm范围内，不锈钢</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611</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蒸馏装置</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Style w:val="37"/>
                <w:rFonts w:hint="eastAsia" w:ascii="宋体" w:hAnsi="宋体" w:eastAsia="宋体" w:cs="宋体"/>
                <w:sz w:val="24"/>
                <w:szCs w:val="24"/>
                <w:highlight w:val="none"/>
                <w:lang w:val="en-US" w:eastAsia="zh-CN" w:bidi="ar"/>
              </w:rPr>
              <w:t>50ml圆底蒸馏瓶连接18cm蛇形冷凝管，接口14/23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612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离心管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100mL 匹配</w:t>
            </w:r>
            <w:r>
              <w:rPr>
                <w:rFonts w:hint="eastAsia" w:ascii="宋体" w:hAnsi="宋体" w:eastAsia="宋体" w:cs="宋体"/>
                <w:i w:val="0"/>
                <w:iCs w:val="0"/>
                <w:color w:val="000000"/>
                <w:kern w:val="0"/>
                <w:sz w:val="24"/>
                <w:szCs w:val="24"/>
                <w:highlight w:val="none"/>
                <w:u w:val="none"/>
                <w:lang w:val="en-US" w:eastAsia="zh-CN" w:bidi="ar"/>
              </w:rPr>
              <w:t>LNB16000G台式高速离心机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液闪Quantulus仪器皮带</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正时同步皮带1183005，1183006</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614</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垃圾桶</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Style w:val="37"/>
                <w:rFonts w:hint="eastAsia" w:ascii="宋体" w:hAnsi="宋体" w:eastAsia="宋体" w:cs="宋体"/>
                <w:sz w:val="24"/>
                <w:szCs w:val="24"/>
                <w:highlight w:val="none"/>
                <w:lang w:val="en-US" w:eastAsia="zh-CN" w:bidi="ar"/>
              </w:rPr>
              <w:t>24*27cm</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护目镜</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1621标准款 ，可与近视镜同时佩戴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616</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无线手持吸尘器</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37"/>
                <w:rFonts w:hint="eastAsia" w:ascii="宋体" w:hAnsi="宋体" w:eastAsia="宋体" w:cs="宋体"/>
                <w:sz w:val="24"/>
                <w:szCs w:val="24"/>
                <w:highlight w:val="none"/>
                <w:lang w:val="en-US" w:eastAsia="zh-CN" w:bidi="ar"/>
              </w:rPr>
              <w:t>功率</w:t>
            </w:r>
            <w:r>
              <w:rPr>
                <w:rFonts w:hint="eastAsia" w:ascii="宋体" w:hAnsi="宋体" w:eastAsia="宋体" w:cs="宋体"/>
                <w:i w:val="0"/>
                <w:iCs w:val="0"/>
                <w:color w:val="000000"/>
                <w:kern w:val="0"/>
                <w:sz w:val="24"/>
                <w:szCs w:val="24"/>
                <w:highlight w:val="none"/>
                <w:u w:val="none"/>
                <w:lang w:val="en-US" w:eastAsia="zh-CN" w:bidi="ar"/>
              </w:rPr>
              <w:t>≥</w:t>
            </w:r>
            <w:r>
              <w:rPr>
                <w:rStyle w:val="37"/>
                <w:rFonts w:hint="eastAsia" w:ascii="宋体" w:hAnsi="宋体" w:eastAsia="宋体" w:cs="宋体"/>
                <w:sz w:val="24"/>
                <w:szCs w:val="24"/>
                <w:highlight w:val="none"/>
                <w:lang w:val="en-US" w:eastAsia="zh-CN" w:bidi="ar"/>
              </w:rPr>
              <w:t>120w, 电池续航</w:t>
            </w:r>
            <w:r>
              <w:rPr>
                <w:rFonts w:hint="eastAsia" w:ascii="宋体" w:hAnsi="宋体" w:eastAsia="宋体" w:cs="宋体"/>
                <w:i w:val="0"/>
                <w:iCs w:val="0"/>
                <w:color w:val="000000"/>
                <w:kern w:val="0"/>
                <w:sz w:val="24"/>
                <w:szCs w:val="24"/>
                <w:highlight w:val="none"/>
                <w:u w:val="none"/>
                <w:lang w:val="en-US" w:eastAsia="zh-CN" w:bidi="ar"/>
              </w:rPr>
              <w:t>≥35min</w:t>
            </w:r>
            <w:r>
              <w:rPr>
                <w:rStyle w:val="37"/>
                <w:rFonts w:hint="eastAsia" w:ascii="宋体" w:hAnsi="宋体" w:eastAsia="宋体" w:cs="宋体"/>
                <w:sz w:val="24"/>
                <w:szCs w:val="24"/>
                <w:highlight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4"/>
                <w:szCs w:val="24"/>
                <w:highlight w:val="none"/>
                <w:u w:val="none"/>
                <w:lang w:val="en-US" w:eastAsia="zh-CN" w:bidi="ar"/>
              </w:rPr>
              <w:t>617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96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总价（小写）：</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总价（大写）：</w:t>
            </w:r>
          </w:p>
        </w:tc>
      </w:tr>
    </w:tbl>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line="360" w:lineRule="auto"/>
        <w:jc w:val="center"/>
        <w:rPr>
          <w:rStyle w:val="21"/>
          <w:rFonts w:hint="eastAsia" w:ascii="宋体" w:hAnsi="宋体" w:eastAsia="宋体" w:cs="宋体"/>
          <w:b/>
          <w:bCs/>
          <w:color w:val="auto"/>
          <w:sz w:val="24"/>
          <w:szCs w:val="24"/>
          <w:highlight w:val="none"/>
          <w:shd w:val="clear" w:color="auto" w:fill="FFFFFF"/>
        </w:rPr>
      </w:pPr>
      <w:r>
        <w:rPr>
          <w:rStyle w:val="21"/>
          <w:rFonts w:hint="eastAsia" w:ascii="宋体" w:hAnsi="宋体" w:eastAsia="宋体" w:cs="宋体"/>
          <w:b/>
          <w:bCs/>
          <w:color w:val="auto"/>
          <w:sz w:val="24"/>
          <w:szCs w:val="24"/>
          <w:highlight w:val="none"/>
          <w:shd w:val="clear" w:color="auto" w:fill="FFFFFF"/>
        </w:rPr>
        <w:t>（</w:t>
      </w:r>
      <w:r>
        <w:rPr>
          <w:rStyle w:val="21"/>
          <w:rFonts w:hint="eastAsia" w:ascii="宋体" w:hAnsi="宋体" w:cs="宋体"/>
          <w:b/>
          <w:bCs/>
          <w:color w:val="auto"/>
          <w:sz w:val="24"/>
          <w:szCs w:val="24"/>
          <w:highlight w:val="none"/>
          <w:shd w:val="clear" w:color="auto" w:fill="FFFFFF"/>
          <w:lang w:val="en-US" w:eastAsia="zh-CN"/>
        </w:rPr>
        <w:t>二</w:t>
      </w:r>
      <w:r>
        <w:rPr>
          <w:rStyle w:val="21"/>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color w:val="auto"/>
          <w:sz w:val="24"/>
          <w:szCs w:val="24"/>
          <w:highlight w:val="none"/>
          <w:lang w:val="en-US" w:eastAsia="zh-CN"/>
        </w:rPr>
        <w:t>化学试剂</w:t>
      </w:r>
      <w:r>
        <w:rPr>
          <w:rFonts w:hint="eastAsia" w:ascii="宋体" w:hAnsi="宋体" w:eastAsia="宋体" w:cs="宋体"/>
          <w:b/>
          <w:bCs/>
          <w:color w:val="auto"/>
          <w:kern w:val="0"/>
          <w:sz w:val="24"/>
          <w:szCs w:val="24"/>
          <w:highlight w:val="none"/>
        </w:rPr>
        <w:t>品目表</w:t>
      </w:r>
    </w:p>
    <w:tbl>
      <w:tblPr>
        <w:tblStyle w:val="18"/>
        <w:tblW w:w="9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5"/>
        <w:gridCol w:w="1741"/>
        <w:gridCol w:w="2670"/>
        <w:gridCol w:w="2010"/>
        <w:gridCol w:w="1460"/>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项号</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产品规格</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618</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次氯酸钠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619</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1，4-双（5-苯基-2-噁唑基）苯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闪烁纯5g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2，5二苯基噁唑</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闪烁级99%25g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621</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N235萃取剂</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622</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氨基磺酸</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AR100G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氨水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624</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白凡士林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SG500G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草酸</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626</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草酸铵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627</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二-（2-乙基己基）磷酸</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248959-96%100g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628</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二(2-乙基己基)磷酸酯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B823126-500ml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629</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二甲苯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二氧化硅</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631</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91%500g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632</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二氧化钛</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高锰酸钾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634</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过硫酸钾</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635</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过氧化氢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636</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还原铁粉</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AR100G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637</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甲苯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638</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抗坏血酸</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AR100G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639</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可溶性淀粉</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磷钼酸铵，水合</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AR100G，含量(以MoO3计)≥86.5%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641</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磷钼酸铵水合物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试剂级017984-500G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642</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磷钼酸铵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500g/瓶 AR MO≥61.1%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磷酸氢二铵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644</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硫化钠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645</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646</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硫酸氢钠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647</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硫酸亚铁</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648</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硫酸亚铁铵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649</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硫酸亚铁溶液</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0.4mol/L  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651</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氯化镁</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六水AR500G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氯化镁六水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654</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氢氧化钠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曲拉通</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CP500ML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656</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三聚磷酸钠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S100099-AR98%500G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657</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三氧化二铝</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658</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三氧化二铁</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659</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三正辛胺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CAS:1116-76-3、 97%100ML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三正辛胺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14028-500ML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三正辛胺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CAS:1116-76-3、97%500ML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四氯乙烯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四水合钼酸铵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664</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碳酸铵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665</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碳酸钙</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666</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无水氯化钙</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667</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无水氯化镁</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668</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无水葡萄糖</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669</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无水碳酸钠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无水乙醇</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671</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硝酸镧，水合</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AR25G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673</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硝酸锶</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674</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硝酸钇，六水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AR25G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675</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亚硝酸钠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676</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盐酸</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677</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阴离子交换树指</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251*8 250G 20-60目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678</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正庚烷</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679</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M812762-AR,85%500g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曲拉通</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T109026-500ml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硝酸铅</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硝酸铁</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氯化铁</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684</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阴离子交换树脂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201*7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萃淋树脂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CL-P204,60-80目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686</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Pb Resin铅冠醚树脂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PB-R10-S 2ML，50-100UM，10unit/包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687</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Pb Resin铅冠醚树脂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PB-R10-S ，50-100UM ，100g/瓶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688</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Cs Resin KNiFC-PAN 铯树脂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NC-B200-M、 100-600um 200g/瓶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689</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Sr Resin 锶树脂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SR-B50-A、 100-150um 50g/瓶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690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Sr Resin 锶树脂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SR-R10-S 50-100um 50g/瓶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691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MnO2-PAN Resin 镭树脂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G2-B200-L、 100-300um 200g/瓶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692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UTEVA® Resin 铀树脂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UT-B50-S、50-100um 50g/瓶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693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CARBOSORE E</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1L 6013721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694</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PERMAFLUOR E+</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4*2.5l 6013187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695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闪烁液</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Gold Star LT2/A-LOW Tritium at Low Temperature、2*5L/箱</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696</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闪烁液</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1200.437 OPTIPHASE HISAFE 3、5L/瓶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697</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698</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乙二胺四乙酸二钠盐</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699</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二水合氯化钡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脲（尿素）</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高氯酸</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硝酸铝（九水）</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柠檬酸三铵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704</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无水硫酸钠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盐酸羟胺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706</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硫酸铁铵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707</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CL-7301 色层粉</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40-60目</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708</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过氧化钠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709</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硝酸铵</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闪烁液</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60133377ULTTMA GOLD LLT perkinelmer</w:t>
            </w:r>
            <w:r>
              <w:rPr>
                <w:rFonts w:hint="eastAsia" w:ascii="宋体" w:hAnsi="宋体" w:eastAsia="宋体" w:cs="宋体"/>
                <w:i w:val="0"/>
                <w:iCs w:val="0"/>
                <w:color w:val="000000"/>
                <w:kern w:val="0"/>
                <w:sz w:val="24"/>
                <w:szCs w:val="24"/>
                <w:highlight w:val="none"/>
                <w:u w:val="none"/>
                <w:lang w:val="en-US" w:eastAsia="zh-CN" w:bidi="ar"/>
              </w:rPr>
              <w:t xml:space="preserve"> 2.5L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磷钼酸铵粉末</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1500g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变色硅胶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二水合柠檬酸三钠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714</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乙酸</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碘化银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716</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碘化铋</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717</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亚硫酸氢钠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718</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硫酸钠</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719</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甲醛</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720</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四氯化碳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721</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丙酮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722</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乙醇</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AR500ml</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723</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盐酸羟胺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AR100g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724</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硝酸银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AR100g</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4"/>
                <w:szCs w:val="24"/>
                <w:highlight w:val="none"/>
                <w:lang w:val="en-US" w:eastAsia="zh-CN" w:bidi="ar"/>
              </w:rPr>
              <w:t>白凡士林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4"/>
                <w:szCs w:val="24"/>
                <w:highlight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4"/>
                <w:szCs w:val="24"/>
                <w:highlight w:val="none"/>
                <w:lang w:val="en-US" w:eastAsia="zh-CN" w:bidi="ar"/>
              </w:rPr>
              <w:t>瓶</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highlight w:val="none"/>
                <w:lang w:val="en-US" w:eastAsia="zh-CN" w:bidi="ar"/>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总价（小写）：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总价（大写）：</w:t>
            </w:r>
          </w:p>
        </w:tc>
      </w:tr>
    </w:tbl>
    <w:p>
      <w:pPr>
        <w:pStyle w:val="25"/>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说明：以上报价需包含完成本项目服务成本、人工、设备、出行、税费、检验及知识产权等一切费用。</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 资格证明文件</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附件3-1 参加竞争性磋商的声明函（若有）</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1、关于贵方</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日项目（项目编号: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2、供应商的基本概况：</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2.1供应商单位名称：</w:t>
      </w:r>
      <w:r>
        <w:rPr>
          <w:rFonts w:hint="eastAsia" w:ascii="宋体" w:hAnsi="宋体" w:eastAsia="宋体" w:cs="宋体"/>
          <w:sz w:val="24"/>
          <w:szCs w:val="24"/>
          <w:highlight w:val="none"/>
          <w:u w:val="single"/>
        </w:rPr>
        <w:t xml:space="preserve">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2.2注册地址：</w:t>
      </w:r>
      <w:r>
        <w:rPr>
          <w:rFonts w:hint="eastAsia" w:ascii="宋体" w:hAnsi="宋体" w:eastAsia="宋体" w:cs="宋体"/>
          <w:sz w:val="24"/>
          <w:szCs w:val="24"/>
          <w:highlight w:val="none"/>
          <w:u w:val="single"/>
        </w:rPr>
        <w:t xml:space="preserve">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2.3单位负责人姓名：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备注：“单位负责人”指单位法定代表人（供应商为法人的）或法律、法规规定代表单位行使职权的主要负责人（供应商为其他组织的）。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对于接受联合体形式的磋商且供应商是联合体的，则联合体各成员都应当提交本资格证明文件。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附件3-2 供应商的资格声明</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12"/>
        <w:gridCol w:w="2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《中华人民共和国政府采购法》第二十二条对供应商的要求</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（5）参加采购活动前三年内，在经营活动中没有重大违法记录</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磋商文件对合格供应商的一般规定</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5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列入失信被执行人、重大税收违法案件当事人名单、政府采购严重违法失信行为记录名单的供应商，不得参加采购活动。</w:t>
            </w:r>
          </w:p>
        </w:tc>
        <w:tc>
          <w:tcPr>
            <w:tcW w:w="164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bl>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2、我方对上述声明的真实性、合法性、准确性、有效性负责，并愿意根据磋商文件和磋商过程中贵方要求提供全部现有资料、数据、文件等予以证实。</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备注：对于接受联合体形式的磋商且供应商是联合体的，则联合体各成员都应当提交本资格证明文件。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附件3-3 单位负责人授权书</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我方的单位负责人</w:t>
      </w:r>
      <w:r>
        <w:rPr>
          <w:rFonts w:hint="eastAsia" w:ascii="宋体" w:hAnsi="宋体" w:eastAsia="宋体" w:cs="宋体"/>
          <w:sz w:val="24"/>
          <w:szCs w:val="24"/>
          <w:highlight w:val="none"/>
          <w:u w:val="single"/>
        </w:rPr>
        <w:t xml:space="preserve">（填写“单位负责人全名”）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（填写“供应商代表全名”）</w:t>
      </w:r>
      <w:r>
        <w:rPr>
          <w:rFonts w:hint="eastAsia" w:ascii="宋体" w:hAnsi="宋体" w:eastAsia="宋体" w:cs="宋体"/>
          <w:sz w:val="24"/>
          <w:szCs w:val="24"/>
          <w:highlight w:val="none"/>
        </w:rPr>
        <w:t>为我方的供应商代表，代表我方参加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供应商代表无转委权。特此授权。</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（以下无正文）</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u w:val="singl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授权方</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（全称并加盖单位公章）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单位负责人签字或盖章：</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u w:val="singl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接受授权方</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签署日期：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附：单位负责人、供应商代表的身份证正反面复印件</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pBdr>
          <w:top w:val="dashed" w:color="000000" w:sz="4" w:space="0"/>
          <w:left w:val="dashed" w:color="000000" w:sz="4" w:space="0"/>
          <w:bottom w:val="dashed" w:color="000000" w:sz="4" w:space="0"/>
          <w:right w:val="dashed" w:color="000000" w:sz="4"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要求：真实、有效、清晰</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1、企业（银行、保险、石油石化、电力、电信等行业除外）、事业单位和社会团体法人的“单位负责人”指法定代表人，即与实际提交的“营业执照等证明文件”载明的一致。</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4、对于接受联合体形式的磋商且供应商是联合体的，则只需要联合体的牵头方提交本授权书，在纸质响应文件正本中的本授权书应为原件</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附件3-4 营业执照等证明文件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）供应商为法人（包括企业、事业单位和社会团体）的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签发的我方统一社会信用代码</w:t>
      </w:r>
      <w:r>
        <w:rPr>
          <w:rFonts w:hint="eastAsia" w:ascii="宋体" w:hAnsi="宋体" w:eastAsia="宋体" w:cs="宋体"/>
          <w:sz w:val="24"/>
          <w:szCs w:val="24"/>
          <w:highlight w:val="none"/>
          <w:u w:val="single"/>
        </w:rPr>
        <w:t>（请填写法人的具体证照名称）</w:t>
      </w:r>
      <w:r>
        <w:rPr>
          <w:rFonts w:hint="eastAsia" w:ascii="宋体" w:hAnsi="宋体" w:eastAsia="宋体" w:cs="宋体"/>
          <w:sz w:val="24"/>
          <w:szCs w:val="24"/>
          <w:highlight w:val="none"/>
        </w:rPr>
        <w:t>复印件，该证明材料真实有效，否则我方负全部责任。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）供应商为非法人（包括其他组织、自然人）的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签发的我方统一社会信用代码</w:t>
      </w:r>
      <w:r>
        <w:rPr>
          <w:rFonts w:hint="eastAsia" w:ascii="宋体" w:hAnsi="宋体" w:eastAsia="宋体" w:cs="宋体"/>
          <w:sz w:val="24"/>
          <w:szCs w:val="24"/>
          <w:highlight w:val="none"/>
          <w:u w:val="single"/>
        </w:rPr>
        <w:t>（请填写非自然人的非法人的具体证照名称）</w:t>
      </w:r>
      <w:r>
        <w:rPr>
          <w:rFonts w:hint="eastAsia" w:ascii="宋体" w:hAnsi="宋体" w:eastAsia="宋体" w:cs="宋体"/>
          <w:sz w:val="24"/>
          <w:szCs w:val="24"/>
          <w:highlight w:val="none"/>
        </w:rPr>
        <w:t>复印件，该证明材料真实有效，否则我方负全部责任。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□现附上由</w:t>
      </w:r>
      <w:r>
        <w:rPr>
          <w:rFonts w:hint="eastAsia" w:ascii="宋体" w:hAnsi="宋体" w:eastAsia="宋体" w:cs="宋体"/>
          <w:sz w:val="24"/>
          <w:szCs w:val="24"/>
          <w:highlight w:val="none"/>
          <w:u w:val="single"/>
        </w:rPr>
        <w:t>（填写“签发机关全称”）</w:t>
      </w:r>
      <w:r>
        <w:rPr>
          <w:rFonts w:hint="eastAsia" w:ascii="宋体" w:hAnsi="宋体" w:eastAsia="宋体" w:cs="宋体"/>
          <w:sz w:val="24"/>
          <w:szCs w:val="24"/>
          <w:highlight w:val="none"/>
        </w:rPr>
        <w:t>签发的我方统一社会信用代码</w:t>
      </w:r>
      <w:r>
        <w:rPr>
          <w:rFonts w:hint="eastAsia" w:ascii="宋体" w:hAnsi="宋体" w:eastAsia="宋体" w:cs="宋体"/>
          <w:sz w:val="24"/>
          <w:szCs w:val="24"/>
          <w:highlight w:val="none"/>
          <w:u w:val="single"/>
        </w:rPr>
        <w:t>（请填写自然人的身份证件名称）</w:t>
      </w:r>
      <w:r>
        <w:rPr>
          <w:rFonts w:hint="eastAsia" w:ascii="宋体" w:hAnsi="宋体" w:eastAsia="宋体" w:cs="宋体"/>
          <w:sz w:val="24"/>
          <w:szCs w:val="24"/>
          <w:highlight w:val="none"/>
        </w:rPr>
        <w:t>复印件，该证明材料真实有效，否则我方负全部责任。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1、请供应商根据实际情况填写，在相应的（）中打“√”并选择相应的“□”（若有）后，再按照本格式的要求提供相应证明材料的复印件。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3、对于接受联合体形式的磋商且供应商是联合体的，则联合体各成员都应当提交本资格证明文件。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附件3-5 财务状况报告</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）供应商提供财务报告的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□企业适用：现附上我方</w:t>
      </w:r>
      <w:r>
        <w:rPr>
          <w:rFonts w:hint="eastAsia" w:ascii="宋体" w:hAnsi="宋体" w:eastAsia="宋体" w:cs="宋体"/>
          <w:sz w:val="24"/>
          <w:szCs w:val="24"/>
          <w:highlight w:val="none"/>
          <w:u w:val="single"/>
        </w:rPr>
        <w:t>（填写“具体的年度、或半年度、或季度”）</w:t>
      </w:r>
      <w:r>
        <w:rPr>
          <w:rFonts w:hint="eastAsia" w:ascii="宋体" w:hAnsi="宋体" w:eastAsia="宋体" w:cs="宋体"/>
          <w:sz w:val="24"/>
          <w:szCs w:val="24"/>
          <w:highlight w:val="none"/>
        </w:rPr>
        <w:t>财务报告复印件，包括资产负债表、利润表、现金流量表、所有者权益变动表及其附注（若有）、会计师事务所营业执照和注册会计师资格证书，上述证明材料真实有效，否则我方负全部责任。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□事业单位适用：现附上我方</w:t>
      </w:r>
      <w:r>
        <w:rPr>
          <w:rFonts w:hint="eastAsia" w:ascii="宋体" w:hAnsi="宋体" w:eastAsia="宋体" w:cs="宋体"/>
          <w:sz w:val="24"/>
          <w:szCs w:val="24"/>
          <w:highlight w:val="none"/>
          <w:u w:val="single"/>
        </w:rPr>
        <w:t>（填写“具体的年度、或半年度、或季度”）</w:t>
      </w:r>
      <w:r>
        <w:rPr>
          <w:rFonts w:hint="eastAsia" w:ascii="宋体" w:hAnsi="宋体" w:eastAsia="宋体" w:cs="宋体"/>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□社会团体、民办非企单位适用：现附上我方</w:t>
      </w:r>
      <w:r>
        <w:rPr>
          <w:rFonts w:hint="eastAsia" w:ascii="宋体" w:hAnsi="宋体" w:eastAsia="宋体" w:cs="宋体"/>
          <w:sz w:val="24"/>
          <w:szCs w:val="24"/>
          <w:highlight w:val="none"/>
          <w:u w:val="single"/>
        </w:rPr>
        <w:t>（填写“具体的年度、或半年度、或季度”）</w:t>
      </w:r>
      <w:r>
        <w:rPr>
          <w:rFonts w:hint="eastAsia" w:ascii="宋体" w:hAnsi="宋体" w:eastAsia="宋体" w:cs="宋体"/>
          <w:sz w:val="24"/>
          <w:szCs w:val="24"/>
          <w:highlight w:val="none"/>
        </w:rPr>
        <w:t>财务报告复印件，包括资产负债表、业务活动表、现金流量表、会计师事务所营业执照和注册会计师资格证书，上述证明材料真实有效，否则我方负全部责任。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）供应商提供资信证明的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□非自然人适用（包括企业、事业单位、社会团体和其他组织）：现附上我方银行：</w:t>
      </w:r>
      <w:r>
        <w:rPr>
          <w:rFonts w:hint="eastAsia" w:ascii="宋体" w:hAnsi="宋体" w:eastAsia="宋体" w:cs="宋体"/>
          <w:sz w:val="24"/>
          <w:szCs w:val="24"/>
          <w:highlight w:val="none"/>
          <w:u w:val="single"/>
        </w:rPr>
        <w:t>（填写“开户银行全称”）</w:t>
      </w:r>
      <w:r>
        <w:rPr>
          <w:rFonts w:hint="eastAsia" w:ascii="宋体" w:hAnsi="宋体" w:eastAsia="宋体" w:cs="宋体"/>
          <w:sz w:val="24"/>
          <w:szCs w:val="24"/>
          <w:highlight w:val="none"/>
        </w:rPr>
        <w:t>出具的资信证明复印件，上述证明材料真实有效，否则我方负全部责任。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□自然人适用（包括企业、事业单位、社会团体和其他组织）：现附上我方银行：</w:t>
      </w:r>
      <w:r>
        <w:rPr>
          <w:rFonts w:hint="eastAsia" w:ascii="宋体" w:hAnsi="宋体" w:eastAsia="宋体" w:cs="宋体"/>
          <w:sz w:val="24"/>
          <w:szCs w:val="24"/>
          <w:highlight w:val="none"/>
          <w:u w:val="single"/>
        </w:rPr>
        <w:t>（填写自然人的“个人账户的开户银行全称”）</w:t>
      </w:r>
      <w:r>
        <w:rPr>
          <w:rFonts w:hint="eastAsia" w:ascii="宋体" w:hAnsi="宋体" w:eastAsia="宋体" w:cs="宋体"/>
          <w:sz w:val="24"/>
          <w:szCs w:val="24"/>
          <w:highlight w:val="none"/>
        </w:rPr>
        <w:t>出具的资信证明复印件，上述证明材料真实有效，否则我方负全部责任。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※注意事项：</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2、供应商提供的财务报告复印件（成立年限按照首次响应文件递交截止时间推算）应符合下列规定：</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2.1成立年限满1年及以上的供应商，提供经审计的上一年度</w:t>
      </w:r>
      <w:r>
        <w:rPr>
          <w:rFonts w:hint="eastAsia" w:ascii="宋体" w:hAnsi="宋体" w:eastAsia="宋体" w:cs="宋体"/>
          <w:sz w:val="24"/>
          <w:szCs w:val="24"/>
          <w:highlight w:val="none"/>
          <w:lang w:val="en-US" w:eastAsia="zh-CN"/>
        </w:rPr>
        <w:t>或2022</w:t>
      </w:r>
      <w:r>
        <w:rPr>
          <w:rFonts w:hint="eastAsia" w:ascii="宋体" w:hAnsi="宋体" w:eastAsia="宋体" w:cs="宋体"/>
          <w:sz w:val="24"/>
          <w:szCs w:val="24"/>
          <w:highlight w:val="none"/>
        </w:rPr>
        <w:t>年度财务报告。</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2.2成立年限满半年但不足1年的供应商，提供该半年度中任一季度的季度财务报告或该半年度的半年度财务报告。</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※无法按照本格式注意事项第2.1、2.2条规定提供财务报告复印件的供应商，应按照本格式注意事项的要求选择提供资信证明复印件。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3、对于接受联合体形式的磋商且供应商是联合体的，则联合体各成员都应当提交本资格证明文件。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附件3-6 依法缴纳税收证明材料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1、依法缴纳税收的供应商</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）法人（包括企业、事业单位和社会团体）的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）非法人（包括其他组织、自然人）的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2、依法减免税收的供应商</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）现附上我方依法免税证明材料复印件，上述证明材料真实有效，否则我方负全部责任。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1、请供应商根据实际情况填写，在相应的（）中打“√”，并按照本格式的要求提供相应证明材料的复印件。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2、供应商提供的税收凭据复印件应符合下列规定：</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2.2首次响应文件递交截止时间的当月成立的供应商，视同满足本项资格条件要求。</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2.3若为依法免税范围的供应商，提供依法免税证明材料的，视同满足本项资格条件要求。</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附件3-7 依法缴纳社会保障资金证明材料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1、依法缴纳社会保障资金的供应商</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）法人（包括企业、事业单位和社会团体）的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）非法人（包括其他组织、自然人）的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年　　月　　日</w:t>
      </w:r>
      <w:r>
        <w:rPr>
          <w:rFonts w:hint="eastAsia" w:ascii="宋体" w:hAnsi="宋体" w:eastAsia="宋体" w:cs="宋体"/>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2、依法不需要缴纳或暂缓缴纳社会保障资金的供应商</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（）现附上我方依法不需要缴纳社会保障资金证明材料复印件，上述证明材料真实有效，否则我方负全部责任。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1、请供应商根据实际情况填写，在相应的（）中打“√”，并按照本格式的要求提供相应证明材料的复印件。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2、供应商提供的社会保险凭据复印件应符合下列规定：</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2.2首次响应文件递交截止时间的当月成立的供应商，视同满足本项资格条件要求。</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2.3若为依法不需要缴纳或暂缓缴纳社会保障资金的供应商，提供依法不需要缴纳或暂缓缴纳社会保障资金证明材料的，视同满足本项资格条件要求。</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附件3-8 具备履行合同所必需设备和专业技术能力证明材料</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声明函</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我方具备履行合同所必需的设备和专业技术能力，并对本声明承诺的真实性负责，否则产生不利后果由我方承担责任。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3.对于接受联合体形式的磋商且供应商是联合体的，则联合体各成员都应当提交本资格证明文件。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附件3-9 信用记录查询结果</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1、由磋商小组通过网站查询并打印供应商的信用记录。</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附件3-10 联合体协议</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（接受联合体的项目使用）</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兹有</w:t>
      </w:r>
      <w:r>
        <w:rPr>
          <w:rFonts w:hint="eastAsia" w:ascii="宋体" w:hAnsi="宋体" w:eastAsia="宋体" w:cs="宋体"/>
          <w:sz w:val="24"/>
          <w:szCs w:val="24"/>
          <w:highlight w:val="none"/>
          <w:u w:val="single"/>
        </w:rPr>
        <w:t>（填写“联合体中各方的全称”，各方的全称之间请用“、”分割）</w:t>
      </w:r>
      <w:r>
        <w:rPr>
          <w:rFonts w:hint="eastAsia" w:ascii="宋体" w:hAnsi="宋体" w:eastAsia="宋体" w:cs="宋体"/>
          <w:sz w:val="24"/>
          <w:szCs w:val="24"/>
          <w:highlight w:val="none"/>
        </w:rPr>
        <w:t>自愿组成联合体，共同参加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 xml:space="preserve"> 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）的响应磋商。现就联合体参加本项目响应磋商的有关事宜达成下列协议：</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一、联合体各方应承担的工作和义务具体如下：</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1、牵头方（全称）：</w:t>
      </w:r>
      <w:r>
        <w:rPr>
          <w:rFonts w:hint="eastAsia" w:ascii="宋体" w:hAnsi="宋体" w:eastAsia="宋体" w:cs="宋体"/>
          <w:sz w:val="24"/>
          <w:szCs w:val="24"/>
          <w:highlight w:val="none"/>
          <w:u w:val="single"/>
        </w:rPr>
        <w:t xml:space="preserve">（填写“工作及义务的具体内容”） </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2、成员方：</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2.1（成员一的全称）：</w:t>
      </w:r>
      <w:r>
        <w:rPr>
          <w:rFonts w:hint="eastAsia" w:ascii="宋体" w:hAnsi="宋体" w:eastAsia="宋体" w:cs="宋体"/>
          <w:sz w:val="24"/>
          <w:szCs w:val="24"/>
          <w:highlight w:val="none"/>
          <w:u w:val="single"/>
        </w:rPr>
        <w:t>（填写“工作及义务的具体内容”）</w:t>
      </w:r>
      <w:r>
        <w:rPr>
          <w:rFonts w:hint="eastAsia" w:ascii="宋体" w:hAnsi="宋体" w:eastAsia="宋体" w:cs="宋体"/>
          <w:sz w:val="24"/>
          <w:szCs w:val="24"/>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二、联合体各方的合同金额占比，具体如下：</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1.牵头方（</w:t>
      </w:r>
      <w:r>
        <w:rPr>
          <w:rFonts w:hint="eastAsia" w:ascii="宋体" w:hAnsi="宋体" w:eastAsia="宋体" w:cs="宋体"/>
          <w:sz w:val="24"/>
          <w:szCs w:val="24"/>
          <w:highlight w:val="none"/>
          <w:u w:val="single"/>
        </w:rPr>
        <w:t xml:space="preserve"> 全称</w:t>
      </w:r>
      <w:r>
        <w:rPr>
          <w:rFonts w:hint="eastAsia" w:ascii="宋体" w:hAnsi="宋体" w:eastAsia="宋体" w:cs="宋体"/>
          <w:sz w:val="24"/>
          <w:szCs w:val="24"/>
          <w:highlight w:val="none"/>
        </w:rPr>
        <w:t xml:space="preserve"> ）的合同金额占合同总额的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2.成员方：</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u w:val="single"/>
        </w:rPr>
        <w:t xml:space="preserve"> 成员1的全称 </w:t>
      </w:r>
      <w:r>
        <w:rPr>
          <w:rFonts w:hint="eastAsia" w:ascii="宋体" w:hAnsi="宋体" w:eastAsia="宋体" w:cs="宋体"/>
          <w:sz w:val="24"/>
          <w:szCs w:val="24"/>
          <w:highlight w:val="none"/>
        </w:rPr>
        <w:t>）的合同金额占合同总额的</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三、联合体各方约定：</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w:t>
      </w:r>
      <w:r>
        <w:rPr>
          <w:rFonts w:hint="eastAsia" w:ascii="宋体" w:hAnsi="宋体" w:eastAsia="宋体" w:cs="宋体"/>
          <w:sz w:val="24"/>
          <w:szCs w:val="24"/>
          <w:highlight w:val="none"/>
          <w:u w:val="single"/>
        </w:rPr>
        <w:t>（填写“牵头方的全称”）代表联合体办理参加本项目报价的有关事宜（包括但不限于：注册账号、派出供应商代表、提交响应文件及参加开标、谈判、澄清等），在此过程中，供应商代表签字的一切文件和处理结果，联合体均予以认可并对此承担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2、联合体各方约定由</w:t>
      </w:r>
      <w:r>
        <w:rPr>
          <w:rFonts w:hint="eastAsia" w:ascii="宋体" w:hAnsi="宋体" w:eastAsia="宋体" w:cs="宋体"/>
          <w:sz w:val="24"/>
          <w:szCs w:val="24"/>
          <w:highlight w:val="none"/>
          <w:u w:val="single"/>
        </w:rPr>
        <w:t>（填写“牵头方的全称”）代表联合体办理磋商保证金事宜。</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四、若中标，牵头方将代表联合体与采购人就合同签订事宜进行协商；若协商一致，则联合体各方将共同与采购人签订采购合同，并就采购合同约定的事项对采购人承担连带责任。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五、本协议自签署之日起生效，采购合同履行完毕后自动失效。</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六、本协议一式</w:t>
      </w:r>
      <w:r>
        <w:rPr>
          <w:rFonts w:hint="eastAsia" w:ascii="宋体" w:hAnsi="宋体" w:eastAsia="宋体" w:cs="宋体"/>
          <w:sz w:val="24"/>
          <w:szCs w:val="24"/>
          <w:highlight w:val="none"/>
          <w:u w:val="single"/>
        </w:rPr>
        <w:t>（填写具体份数）</w:t>
      </w:r>
      <w:r>
        <w:rPr>
          <w:rFonts w:hint="eastAsia" w:ascii="宋体" w:hAnsi="宋体" w:eastAsia="宋体" w:cs="宋体"/>
          <w:sz w:val="24"/>
          <w:szCs w:val="24"/>
          <w:highlight w:val="none"/>
        </w:rPr>
        <w:t>份，联合体各方各执一份，响应文件中提交一份。</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牵头方：</w:t>
      </w:r>
      <w:r>
        <w:rPr>
          <w:rFonts w:hint="eastAsia" w:ascii="宋体" w:hAnsi="宋体" w:eastAsia="宋体" w:cs="宋体"/>
          <w:sz w:val="24"/>
          <w:szCs w:val="24"/>
          <w:highlight w:val="none"/>
          <w:u w:val="single"/>
        </w:rPr>
        <w:t>（全称并加盖单位公章）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成员一：</w:t>
      </w:r>
      <w:r>
        <w:rPr>
          <w:rFonts w:hint="eastAsia" w:ascii="宋体" w:hAnsi="宋体" w:eastAsia="宋体" w:cs="宋体"/>
          <w:sz w:val="24"/>
          <w:szCs w:val="24"/>
          <w:highlight w:val="none"/>
          <w:u w:val="single"/>
        </w:rPr>
        <w:t>（全称并加盖成员一的单位公章）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成员**：</w:t>
      </w:r>
      <w:r>
        <w:rPr>
          <w:rFonts w:hint="eastAsia" w:ascii="宋体" w:hAnsi="宋体" w:eastAsia="宋体" w:cs="宋体"/>
          <w:sz w:val="24"/>
          <w:szCs w:val="24"/>
          <w:highlight w:val="none"/>
          <w:u w:val="single"/>
        </w:rPr>
        <w:t>（全称并加盖成员**的单位公章）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（签字或盖章）</w:t>
      </w:r>
    </w:p>
    <w:p>
      <w:pPr>
        <w:pStyle w:val="25"/>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签署日期：</w:t>
      </w:r>
      <w:r>
        <w:rPr>
          <w:rFonts w:hint="eastAsia" w:ascii="宋体" w:hAnsi="宋体" w:eastAsia="宋体" w:cs="宋体"/>
          <w:sz w:val="24"/>
          <w:szCs w:val="24"/>
          <w:highlight w:val="none"/>
          <w:u w:val="single"/>
        </w:rPr>
        <w:t>　　年　　月　　日</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1、磋商文件接受联合体报价且供应商为联合体的，供应商应提供本协议；否则无须提供。</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2、本协议由委托代理人签字或盖章的，应按照本章载明的格式提供“单位授权书”。</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3、在以联合体形式落实中小企业预留份额项目中，供应商除了要提供《中小企业声明函》，还需提供本协议。</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4、在以联合体形式落实中小企业预留份额项目中，供应商除了要提供《中小企业声明函》，还需提供本协议。</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附件3-11 分包意向协议（若有）</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甲方（总包方）：</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（即本项目的供应商）</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乙方（分包方）：</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兹有甲方参加</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 xml:space="preserve"> 项目（项目编号：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）的采购活动。甲方期望将采购项目的部分采购标的分包给乙方完成，而乙方保证能够向甲方提供本协议项下的采购标的，甲、乙双方就合同分包的有关事宜达成下列协议：</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一、分包标的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（根据双方的意向填写，可以是表格或文字描述）。</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二、分包合同金额占比</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分包合同价占报价总价的比例：</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三、其他条款</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4"/>
        <w:gridCol w:w="44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tc>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单位负责人或委托代理人：</w:t>
            </w:r>
          </w:p>
        </w:tc>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联系方法：</w:t>
            </w:r>
          </w:p>
        </w:tc>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2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pPr>
              <w:pStyle w:val="25"/>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签订地点：</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签约日期：</w:t>
            </w:r>
            <w:r>
              <w:rPr>
                <w:rFonts w:hint="eastAsia" w:ascii="宋体" w:hAnsi="宋体" w:eastAsia="宋体" w:cs="宋体"/>
                <w:sz w:val="24"/>
                <w:szCs w:val="24"/>
                <w:highlight w:val="none"/>
                <w:u w:val="single"/>
              </w:rPr>
              <w:t>　　年　　月　　日</w:t>
            </w:r>
          </w:p>
        </w:tc>
      </w:tr>
    </w:tbl>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1.磋商文件接受合同分包且供应商拟将合同分包的，应提供本协议；否则无须提供。</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2.本协议由委托代理人签字或盖章的，应按照本章载明的格式提供“单位授权书”。</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3.在以合同分包形式落实中小企业预留份额项目中，供应商除了要提供《中小企业声明函》，还需提供本协议。</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附件3-12 参加采购活动前三年内在经营活动中没有重大违法记录书面声明</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（采购人或采购代理机构）</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特此申明。</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2、请供应商根据实际情况如实声明，否则视为提供虚假材料。</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附件3-13 其它资格证明文件</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（若有）</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2、若磋商文件规定接受联合体形式且供应商为联合体的，涉及联合体成员的其它资格证明文件在此处提供相关证明材料，并加盖供应商单位公章。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-1 技术和服务要求响应表</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（全称加盖单位公章）</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18"/>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2"/>
        <w:gridCol w:w="1636"/>
        <w:gridCol w:w="2182"/>
        <w:gridCol w:w="2182"/>
        <w:gridCol w:w="21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914"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章节条目号</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竞争性磋商文件规定的技术和服务要求</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响应文件响应承诺</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914"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914"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914"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bl>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磋商保证金（如果未签订合同）将不予退还，给采购人和采购代理机构造成损失的，还必须进行赔偿并负相关责任。</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-2        商务条件和其它事项响应表</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（全称加盖单位公章）</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w:t>
      </w:r>
    </w:p>
    <w:tbl>
      <w:tblPr>
        <w:tblStyle w:val="18"/>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2"/>
        <w:gridCol w:w="1636"/>
        <w:gridCol w:w="2182"/>
        <w:gridCol w:w="2182"/>
        <w:gridCol w:w="21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914"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章节条目号</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竞争性磋商文件规定的商务条件要求</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响应文件响应承诺</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914"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914"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914"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21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bl>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磋商保证金（如果未签订合同）将不予退还，给采购人和采购代理机构造成损失的，还必须进行赔偿并负相关责任。</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 xml:space="preserve"> 相关技术、商务、服务响应承诺及资料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2.如果没有特别要求的，供应商根据磋商文件的要求以及特点，提供相关技术、商务、服务响应承诺及资料，格式自拟。</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 xml:space="preserve"> 供应商提交符合政府采购政策的证明材料</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-1-1 中小企业声明函（若有）</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中小企业声明函（货物）</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w:t>
      </w:r>
      <w:r>
        <w:rPr>
          <w:rFonts w:hint="eastAsia" w:ascii="宋体" w:hAnsi="宋体" w:eastAsia="宋体" w:cs="宋体"/>
          <w:sz w:val="24"/>
          <w:szCs w:val="24"/>
          <w:highlight w:val="none"/>
          <w:u w:val="single"/>
        </w:rPr>
        <w:t>（联合体）</w:t>
      </w:r>
      <w:r>
        <w:rPr>
          <w:rFonts w:hint="eastAsia" w:ascii="宋体" w:hAnsi="宋体" w:eastAsia="宋体" w:cs="宋体"/>
          <w:sz w:val="24"/>
          <w:szCs w:val="24"/>
          <w:highlight w:val="none"/>
        </w:rPr>
        <w:t>郑重声明，根据《政府采购促进中小企业发展管理办法》（财库﹝2020﹞46号）的规定，本公司</w:t>
      </w:r>
      <w:r>
        <w:rPr>
          <w:rFonts w:hint="eastAsia" w:ascii="宋体" w:hAnsi="宋体" w:eastAsia="宋体" w:cs="宋体"/>
          <w:sz w:val="24"/>
          <w:szCs w:val="24"/>
          <w:highlight w:val="none"/>
          <w:u w:val="single"/>
        </w:rPr>
        <w:t>（联合体）</w:t>
      </w:r>
      <w:r>
        <w:rPr>
          <w:rFonts w:hint="eastAsia" w:ascii="宋体" w:hAnsi="宋体" w:eastAsia="宋体" w:cs="宋体"/>
          <w:sz w:val="24"/>
          <w:szCs w:val="24"/>
          <w:highlight w:val="none"/>
        </w:rPr>
        <w:t>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采购活动，提供的货物全部由符合政策要求的中小企业制造。相关企业（含联合体中的中小企业、签订分包意向协议的中小企业）的具体情况如下：</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，从业人员人，营业收入为万元，资产总额为万元1，属于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，从业人员人，营业收入为万元，资产总额为万元1，属于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中小企业声明函（工程、服务）</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w:t>
      </w:r>
      <w:r>
        <w:rPr>
          <w:rFonts w:hint="eastAsia" w:ascii="宋体" w:hAnsi="宋体" w:eastAsia="宋体" w:cs="宋体"/>
          <w:sz w:val="24"/>
          <w:szCs w:val="24"/>
          <w:highlight w:val="none"/>
          <w:u w:val="single"/>
        </w:rPr>
        <w:t>（联合体）</w:t>
      </w:r>
      <w:r>
        <w:rPr>
          <w:rFonts w:hint="eastAsia" w:ascii="宋体" w:hAnsi="宋体" w:eastAsia="宋体" w:cs="宋体"/>
          <w:sz w:val="24"/>
          <w:szCs w:val="24"/>
          <w:highlight w:val="none"/>
        </w:rPr>
        <w:t>郑重声明，根据《政府采购促进中小企业发展管理办法》（财库﹝2020﹞46号）的规定，本公司</w:t>
      </w:r>
      <w:r>
        <w:rPr>
          <w:rFonts w:hint="eastAsia" w:ascii="宋体" w:hAnsi="宋体" w:eastAsia="宋体" w:cs="宋体"/>
          <w:sz w:val="24"/>
          <w:szCs w:val="24"/>
          <w:highlight w:val="none"/>
          <w:u w:val="single"/>
        </w:rPr>
        <w:t>（联合体）</w:t>
      </w:r>
      <w:r>
        <w:rPr>
          <w:rFonts w:hint="eastAsia" w:ascii="宋体" w:hAnsi="宋体" w:eastAsia="宋体" w:cs="宋体"/>
          <w:sz w:val="24"/>
          <w:szCs w:val="24"/>
          <w:highlight w:val="none"/>
        </w:rPr>
        <w:t>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，从业人员人，营业收入为万元，资产总额为万元1，属于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，从业人员人，营业收入为万元，资产总额为万元1，属于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1、从业人员、营业收入、资产总额填报上一年度数据，无上一年度数据的新成立企业可不填报。</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附件</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-1-2 残疾人福利性单位声明函（若有）</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highlight w:val="none"/>
          <w:u w:val="single"/>
        </w:rPr>
        <w:t>（填写“项目名称”）</w:t>
      </w:r>
      <w:r>
        <w:rPr>
          <w:rFonts w:hint="eastAsia" w:ascii="宋体" w:hAnsi="宋体" w:eastAsia="宋体" w:cs="宋体"/>
          <w:sz w:val="24"/>
          <w:szCs w:val="24"/>
          <w:highlight w:val="none"/>
        </w:rPr>
        <w:t>项目采购活动：</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）提供本供应商制造的</w:t>
      </w:r>
      <w:r>
        <w:rPr>
          <w:rFonts w:hint="eastAsia" w:ascii="宋体" w:hAnsi="宋体" w:eastAsia="宋体" w:cs="宋体"/>
          <w:sz w:val="24"/>
          <w:szCs w:val="24"/>
          <w:highlight w:val="none"/>
          <w:u w:val="single"/>
        </w:rPr>
        <w:t>（填写“所投采购包、品目号”）</w:t>
      </w:r>
      <w:r>
        <w:rPr>
          <w:rFonts w:hint="eastAsia" w:ascii="宋体" w:hAnsi="宋体" w:eastAsia="宋体" w:cs="宋体"/>
          <w:sz w:val="24"/>
          <w:szCs w:val="24"/>
          <w:highlight w:val="none"/>
        </w:rPr>
        <w:t>货物，或提供其他残疾人福利性单位制造的</w:t>
      </w:r>
      <w:r>
        <w:rPr>
          <w:rFonts w:hint="eastAsia" w:ascii="宋体" w:hAnsi="宋体" w:eastAsia="宋体" w:cs="宋体"/>
          <w:sz w:val="24"/>
          <w:szCs w:val="24"/>
          <w:highlight w:val="none"/>
          <w:u w:val="single"/>
        </w:rPr>
        <w:t>（填写“所投采购包、品目号”）</w:t>
      </w:r>
      <w:r>
        <w:rPr>
          <w:rFonts w:hint="eastAsia" w:ascii="宋体" w:hAnsi="宋体" w:eastAsia="宋体" w:cs="宋体"/>
          <w:sz w:val="24"/>
          <w:szCs w:val="24"/>
          <w:highlight w:val="none"/>
        </w:rPr>
        <w:t>货物（不包括使用非残疾人福利性单位注册商标的货物）。（说明：只有部分货物由残疾人福利企业制造的，在该货物后标★）</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）由本供应商承建的</w:t>
      </w:r>
      <w:r>
        <w:rPr>
          <w:rFonts w:hint="eastAsia" w:ascii="宋体" w:hAnsi="宋体" w:eastAsia="宋体" w:cs="宋体"/>
          <w:sz w:val="24"/>
          <w:szCs w:val="24"/>
          <w:highlight w:val="none"/>
          <w:u w:val="single"/>
        </w:rPr>
        <w:t>（填写“所投采购包、品目号”）</w:t>
      </w:r>
      <w:r>
        <w:rPr>
          <w:rFonts w:hint="eastAsia" w:ascii="宋体" w:hAnsi="宋体" w:eastAsia="宋体" w:cs="宋体"/>
          <w:sz w:val="24"/>
          <w:szCs w:val="24"/>
          <w:highlight w:val="none"/>
        </w:rPr>
        <w:t>工程</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）由本供应商承接的</w:t>
      </w:r>
      <w:r>
        <w:rPr>
          <w:rFonts w:hint="eastAsia" w:ascii="宋体" w:hAnsi="宋体" w:eastAsia="宋体" w:cs="宋体"/>
          <w:sz w:val="24"/>
          <w:szCs w:val="24"/>
          <w:highlight w:val="none"/>
          <w:u w:val="single"/>
        </w:rPr>
        <w:t>（填写“所投采购包、品目号”）</w:t>
      </w:r>
      <w:r>
        <w:rPr>
          <w:rFonts w:hint="eastAsia" w:ascii="宋体" w:hAnsi="宋体" w:eastAsia="宋体" w:cs="宋体"/>
          <w:sz w:val="24"/>
          <w:szCs w:val="24"/>
          <w:highlight w:val="none"/>
        </w:rPr>
        <w:t>服务；</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本供应商对上述声明的真实性负责。如有虚假，将依法承担相应责任。</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（2）请供应商按照实际情况编制填写本声明函，并在相应的（）中打“√”。</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（3）纸质响应文件正本中的本声明函（若有）应为原件。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（4）若《残疾人福利性单位声明函》内容不真实，视为提供虚假材料。</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-1-3 监狱企业证明材料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供应商为监狱企业，提供本单位制造的货物（承接的服务），并在响应文件中提供省级以上监狱管理局、戒毒管理局（含新疆生产建设兵团）出具的属于监狱企业的证明文件。</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附件7-2 优先类节能产品、环境标志产品加分证明材料（若有）</w:t>
      </w:r>
    </w:p>
    <w:tbl>
      <w:tblPr>
        <w:tblStyle w:val="18"/>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4"/>
        <w:gridCol w:w="895"/>
        <w:gridCol w:w="1788"/>
        <w:gridCol w:w="1788"/>
        <w:gridCol w:w="1788"/>
        <w:gridCol w:w="895"/>
        <w:gridCol w:w="8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4499" w:type="pct"/>
            <w:gridSpan w:val="6"/>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p>
        </w:tc>
        <w:tc>
          <w:tcPr>
            <w:tcW w:w="500"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999"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999"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最后报价单价（现场）</w:t>
            </w:r>
          </w:p>
        </w:tc>
        <w:tc>
          <w:tcPr>
            <w:tcW w:w="999"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500"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最后报价总价（现场）</w:t>
            </w:r>
          </w:p>
        </w:tc>
        <w:tc>
          <w:tcPr>
            <w:tcW w:w="500"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Merge w:val="restar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500"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9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99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99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c>
          <w:tcPr>
            <w:tcW w:w="500"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99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99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999"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500" w:type="pct"/>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pPr>
              <w:pStyle w:val="25"/>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4499" w:type="pct"/>
            <w:gridSpan w:val="6"/>
          </w:tcPr>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a.采购包内属于节能、环境标志产品的报价总金额：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b.采购包投标总价（报价总金额）：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c.“采购包内属于节能、环境标志产品的报价总金额”占“采购包投标总价（报价总金额）”的比例（以%列示）：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bl>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2、本表以采购包为单位，不同采购包请分别填写；单个采购包请按照其品目号顺序分别填写。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3、具体统计、计算：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3.1若同一采购包内的单个或多个货物取得或同时取得节能、环境标志产品等两项或多项认证的，均按照单个货物对应一项认证的原则统计、计算1次。</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3.2计算结果若除不尽，可四舍五入保留到小数点后两位。</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3.3供应商应按照磋商文件上表要求认真统计、计算，否则磋商小组可不予认定。</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3.4若无节能、环境标志产品，不填写本表，否则，视为提供虚假材料。</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3.5强制类节能产品不享受价格扣除。</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5、纸质响应文件正本中的本表（若有）应为原件。</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rPr>
          <w:rFonts w:hint="eastAsia" w:ascii="宋体" w:hAnsi="宋体" w:eastAsia="宋体" w:cs="宋体"/>
          <w:b/>
          <w:sz w:val="24"/>
          <w:szCs w:val="24"/>
          <w:highlight w:val="none"/>
        </w:rPr>
      </w:pPr>
      <w:bookmarkStart w:id="12" w:name="_Toc151924354"/>
      <w:bookmarkStart w:id="13" w:name="_Toc7637"/>
      <w:r>
        <w:rPr>
          <w:rFonts w:hint="eastAsia" w:ascii="宋体" w:hAnsi="宋体" w:eastAsia="宋体" w:cs="宋体"/>
          <w:b/>
          <w:sz w:val="24"/>
          <w:szCs w:val="24"/>
          <w:highlight w:val="none"/>
        </w:rPr>
        <w:br w:type="page"/>
      </w:r>
    </w:p>
    <w:p>
      <w:pPr>
        <w:pStyle w:val="25"/>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 xml:space="preserve"> 优要求作为响应文件组成部分的其他内容（若有）</w:t>
      </w:r>
      <w:bookmarkEnd w:id="12"/>
      <w:bookmarkEnd w:id="13"/>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2、供应商根据自身实际情况编写有关资料包括如供应商单位简介、竞争性磋商文件要求提供或供应商自已认为体现自身优势，需要补充说明的其它资料，格式自拟。</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w:t>
      </w:r>
      <w:r>
        <w:rPr>
          <w:rFonts w:hint="eastAsia" w:ascii="宋体" w:hAnsi="宋体" w:eastAsia="宋体" w:cs="宋体"/>
          <w:sz w:val="24"/>
          <w:szCs w:val="24"/>
          <w:highlight w:val="none"/>
          <w:u w:val="single"/>
        </w:rPr>
        <w:t>　　　（签字）</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rPr>
        <w:t>　　　（全称并加盖公章）　　　</w:t>
      </w:r>
    </w:p>
    <w:p>
      <w:pPr>
        <w:pStyle w:val="25"/>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sectPr>
      <w:footerReference r:id="rId4" w:type="default"/>
      <w:pgSz w:w="11906" w:h="16838"/>
      <w:pgMar w:top="1417" w:right="1587" w:bottom="141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AAE8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4AAT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023BB"/>
    <w:multiLevelType w:val="singleLevel"/>
    <w:tmpl w:val="AA3023BB"/>
    <w:lvl w:ilvl="0" w:tentative="0">
      <w:start w:val="1"/>
      <w:numFmt w:val="decimal"/>
      <w:suff w:val="nothing"/>
      <w:lvlText w:val="%1、"/>
      <w:lvlJc w:val="left"/>
    </w:lvl>
  </w:abstractNum>
  <w:abstractNum w:abstractNumId="1">
    <w:nsid w:val="171F2F26"/>
    <w:multiLevelType w:val="multilevel"/>
    <w:tmpl w:val="171F2F26"/>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4"/>
      <w:lvlText w:val="%1.%2.%3.%4.%5"/>
      <w:lvlJc w:val="left"/>
      <w:pPr>
        <w:ind w:left="1008" w:hanging="1008"/>
      </w:pPr>
    </w:lvl>
    <w:lvl w:ilvl="5" w:tentative="0">
      <w:start w:val="1"/>
      <w:numFmt w:val="decimal"/>
      <w:pStyle w:val="5"/>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GNhNjE3N2IyZGYwYzUwZGJkN2U0MDQ1NzNhYWIifQ=="/>
  </w:docVars>
  <w:rsids>
    <w:rsidRoot w:val="53B52B8D"/>
    <w:rsid w:val="00095C6D"/>
    <w:rsid w:val="000F1666"/>
    <w:rsid w:val="000F7BB8"/>
    <w:rsid w:val="00173817"/>
    <w:rsid w:val="002C50FE"/>
    <w:rsid w:val="004335DB"/>
    <w:rsid w:val="00503D7C"/>
    <w:rsid w:val="005A3FAF"/>
    <w:rsid w:val="00702C1F"/>
    <w:rsid w:val="00785A61"/>
    <w:rsid w:val="00983DA7"/>
    <w:rsid w:val="009C5F65"/>
    <w:rsid w:val="00C672DD"/>
    <w:rsid w:val="00D82523"/>
    <w:rsid w:val="00EF7BEF"/>
    <w:rsid w:val="00F97AFD"/>
    <w:rsid w:val="012D4B11"/>
    <w:rsid w:val="01386703"/>
    <w:rsid w:val="017460A8"/>
    <w:rsid w:val="01924586"/>
    <w:rsid w:val="0298381C"/>
    <w:rsid w:val="033D2214"/>
    <w:rsid w:val="04854128"/>
    <w:rsid w:val="04BE6CE6"/>
    <w:rsid w:val="06C625D2"/>
    <w:rsid w:val="07E64AC1"/>
    <w:rsid w:val="0B982936"/>
    <w:rsid w:val="0BE83322"/>
    <w:rsid w:val="0C167ABA"/>
    <w:rsid w:val="0CDF2F6F"/>
    <w:rsid w:val="0D6F66FA"/>
    <w:rsid w:val="0E474FD1"/>
    <w:rsid w:val="0F267D45"/>
    <w:rsid w:val="10480E2B"/>
    <w:rsid w:val="111A73CA"/>
    <w:rsid w:val="126A32DB"/>
    <w:rsid w:val="14B7657F"/>
    <w:rsid w:val="15830869"/>
    <w:rsid w:val="16734728"/>
    <w:rsid w:val="177F50ED"/>
    <w:rsid w:val="18095344"/>
    <w:rsid w:val="19552F48"/>
    <w:rsid w:val="1B754A9E"/>
    <w:rsid w:val="1BA85889"/>
    <w:rsid w:val="1D80773E"/>
    <w:rsid w:val="1EC43D73"/>
    <w:rsid w:val="1F823410"/>
    <w:rsid w:val="1FC35DD8"/>
    <w:rsid w:val="209A70D8"/>
    <w:rsid w:val="2114010F"/>
    <w:rsid w:val="21D7200F"/>
    <w:rsid w:val="23ED029C"/>
    <w:rsid w:val="25665B84"/>
    <w:rsid w:val="26B8449C"/>
    <w:rsid w:val="29090E25"/>
    <w:rsid w:val="297D349C"/>
    <w:rsid w:val="2B3758CC"/>
    <w:rsid w:val="2BA70CA4"/>
    <w:rsid w:val="2CB35609"/>
    <w:rsid w:val="2D426ED6"/>
    <w:rsid w:val="2D6F0AB1"/>
    <w:rsid w:val="2E652EB3"/>
    <w:rsid w:val="2E7173A6"/>
    <w:rsid w:val="2EA65D4E"/>
    <w:rsid w:val="2EB35FE2"/>
    <w:rsid w:val="2F560A17"/>
    <w:rsid w:val="2FD85F4B"/>
    <w:rsid w:val="3007734D"/>
    <w:rsid w:val="30136908"/>
    <w:rsid w:val="3264344B"/>
    <w:rsid w:val="32725040"/>
    <w:rsid w:val="33A4019B"/>
    <w:rsid w:val="34F22AE0"/>
    <w:rsid w:val="353F1C96"/>
    <w:rsid w:val="35470E02"/>
    <w:rsid w:val="36326C7E"/>
    <w:rsid w:val="36A91965"/>
    <w:rsid w:val="377B4E31"/>
    <w:rsid w:val="38B93DC5"/>
    <w:rsid w:val="3927773E"/>
    <w:rsid w:val="3A135BA1"/>
    <w:rsid w:val="3AA74858"/>
    <w:rsid w:val="3C9450C1"/>
    <w:rsid w:val="3CF00812"/>
    <w:rsid w:val="3D4316A4"/>
    <w:rsid w:val="3DA93456"/>
    <w:rsid w:val="3DBB5E01"/>
    <w:rsid w:val="3E3208A1"/>
    <w:rsid w:val="3E4D672B"/>
    <w:rsid w:val="3E701ACB"/>
    <w:rsid w:val="3EBA2BFF"/>
    <w:rsid w:val="3F6B5D63"/>
    <w:rsid w:val="4081166C"/>
    <w:rsid w:val="40AF442B"/>
    <w:rsid w:val="40EA7B34"/>
    <w:rsid w:val="46625A9C"/>
    <w:rsid w:val="46713487"/>
    <w:rsid w:val="47302509"/>
    <w:rsid w:val="47372A84"/>
    <w:rsid w:val="4774789B"/>
    <w:rsid w:val="485449EE"/>
    <w:rsid w:val="48EA559E"/>
    <w:rsid w:val="495A3BE4"/>
    <w:rsid w:val="49BE59EB"/>
    <w:rsid w:val="4A7B3938"/>
    <w:rsid w:val="4B5C5665"/>
    <w:rsid w:val="4DC453F3"/>
    <w:rsid w:val="4DF003C7"/>
    <w:rsid w:val="4E3C6D2A"/>
    <w:rsid w:val="50601510"/>
    <w:rsid w:val="52A868F5"/>
    <w:rsid w:val="53B52B8D"/>
    <w:rsid w:val="54FD376A"/>
    <w:rsid w:val="551C4C6A"/>
    <w:rsid w:val="55450A62"/>
    <w:rsid w:val="56D330B5"/>
    <w:rsid w:val="59034EBC"/>
    <w:rsid w:val="59143DA3"/>
    <w:rsid w:val="5A3927F1"/>
    <w:rsid w:val="5A4412E8"/>
    <w:rsid w:val="5C190690"/>
    <w:rsid w:val="5D6D664D"/>
    <w:rsid w:val="5D847786"/>
    <w:rsid w:val="5E114FB9"/>
    <w:rsid w:val="5EB6477F"/>
    <w:rsid w:val="603040BD"/>
    <w:rsid w:val="6103379B"/>
    <w:rsid w:val="61337930"/>
    <w:rsid w:val="61E82EA1"/>
    <w:rsid w:val="626946A3"/>
    <w:rsid w:val="629F27F4"/>
    <w:rsid w:val="62D00109"/>
    <w:rsid w:val="62E1564B"/>
    <w:rsid w:val="63141A74"/>
    <w:rsid w:val="64180508"/>
    <w:rsid w:val="648F3AA8"/>
    <w:rsid w:val="6505169B"/>
    <w:rsid w:val="66300735"/>
    <w:rsid w:val="66F34D4C"/>
    <w:rsid w:val="67E933F9"/>
    <w:rsid w:val="693D72BD"/>
    <w:rsid w:val="6A096052"/>
    <w:rsid w:val="6D572DB5"/>
    <w:rsid w:val="6EC30F1E"/>
    <w:rsid w:val="701275D7"/>
    <w:rsid w:val="70566D71"/>
    <w:rsid w:val="70C035D3"/>
    <w:rsid w:val="70C26FB3"/>
    <w:rsid w:val="729F135A"/>
    <w:rsid w:val="73213CE2"/>
    <w:rsid w:val="73773125"/>
    <w:rsid w:val="76354A35"/>
    <w:rsid w:val="77F79321"/>
    <w:rsid w:val="78141521"/>
    <w:rsid w:val="78160310"/>
    <w:rsid w:val="7AEA15E0"/>
    <w:rsid w:val="7B834DD0"/>
    <w:rsid w:val="7C2231DB"/>
    <w:rsid w:val="7D5E43C2"/>
    <w:rsid w:val="7E1C37A9"/>
    <w:rsid w:val="7F211349"/>
    <w:rsid w:val="7F3F3C23"/>
    <w:rsid w:val="7FBF4755"/>
    <w:rsid w:val="7FDA7E7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4"/>
    <w:basedOn w:val="1"/>
    <w:next w:val="1"/>
    <w:autoRedefine/>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paragraph" w:styleId="4">
    <w:name w:val="heading 5"/>
    <w:basedOn w:val="1"/>
    <w:next w:val="1"/>
    <w:link w:val="34"/>
    <w:autoRedefine/>
    <w:unhideWhenUsed/>
    <w:qFormat/>
    <w:uiPriority w:val="0"/>
    <w:pPr>
      <w:keepNext/>
      <w:keepLines/>
      <w:numPr>
        <w:ilvl w:val="4"/>
        <w:numId w:val="1"/>
      </w:numPr>
      <w:spacing w:before="280" w:after="290" w:line="376" w:lineRule="auto"/>
      <w:outlineLvl w:val="4"/>
    </w:pPr>
    <w:rPr>
      <w:b/>
      <w:bCs/>
      <w:sz w:val="28"/>
      <w:szCs w:val="28"/>
    </w:rPr>
  </w:style>
  <w:style w:type="paragraph" w:styleId="5">
    <w:name w:val="heading 6"/>
    <w:basedOn w:val="1"/>
    <w:next w:val="1"/>
    <w:link w:val="35"/>
    <w:autoRedefine/>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Document Map"/>
    <w:basedOn w:val="1"/>
    <w:link w:val="33"/>
    <w:autoRedefine/>
    <w:qFormat/>
    <w:uiPriority w:val="0"/>
    <w:rPr>
      <w:rFonts w:ascii="宋体" w:eastAsia="宋体"/>
      <w:sz w:val="18"/>
      <w:szCs w:val="18"/>
    </w:rPr>
  </w:style>
  <w:style w:type="paragraph" w:styleId="7">
    <w:name w:val="annotation text"/>
    <w:basedOn w:val="1"/>
    <w:link w:val="31"/>
    <w:autoRedefine/>
    <w:qFormat/>
    <w:uiPriority w:val="99"/>
  </w:style>
  <w:style w:type="paragraph" w:styleId="8">
    <w:name w:val="Body Text"/>
    <w:basedOn w:val="1"/>
    <w:next w:val="9"/>
    <w:autoRedefine/>
    <w:qFormat/>
    <w:uiPriority w:val="0"/>
    <w:pPr>
      <w:spacing w:after="120"/>
    </w:pPr>
    <w:rPr>
      <w:rFonts w:ascii="Times New Roman" w:hAnsi="Times New Roman" w:eastAsia="宋体" w:cs="Times New Roman"/>
      <w:szCs w:val="20"/>
    </w:rPr>
  </w:style>
  <w:style w:type="paragraph" w:customStyle="1" w:styleId="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toc 3"/>
    <w:basedOn w:val="1"/>
    <w:next w:val="1"/>
    <w:autoRedefine/>
    <w:qFormat/>
    <w:uiPriority w:val="39"/>
    <w:pPr>
      <w:ind w:left="840" w:leftChars="400"/>
    </w:pPr>
  </w:style>
  <w:style w:type="paragraph" w:styleId="11">
    <w:name w:val="Balloon Text"/>
    <w:basedOn w:val="1"/>
    <w:link w:val="30"/>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tabs>
        <w:tab w:val="right" w:leader="dot" w:pos="8722"/>
      </w:tabs>
      <w:jc w:val="center"/>
    </w:pPr>
    <w:rPr>
      <w:sz w:val="30"/>
      <w:szCs w:val="30"/>
    </w:rPr>
  </w:style>
  <w:style w:type="paragraph" w:styleId="15">
    <w:name w:val="Normal (Web)"/>
    <w:basedOn w:val="1"/>
    <w:autoRedefine/>
    <w:qFormat/>
    <w:uiPriority w:val="0"/>
    <w:rPr>
      <w:rFonts w:ascii="Times New Roman" w:hAnsi="Times New Roman" w:eastAsia="宋体" w:cs="Times New Roman"/>
      <w:sz w:val="24"/>
    </w:rPr>
  </w:style>
  <w:style w:type="paragraph" w:styleId="16">
    <w:name w:val="annotation subject"/>
    <w:basedOn w:val="7"/>
    <w:next w:val="7"/>
    <w:link w:val="32"/>
    <w:autoRedefine/>
    <w:qFormat/>
    <w:uiPriority w:val="0"/>
    <w:pPr>
      <w:jc w:val="left"/>
    </w:pPr>
    <w:rPr>
      <w:b/>
      <w:bCs/>
    </w:rPr>
  </w:style>
  <w:style w:type="paragraph" w:styleId="17">
    <w:name w:val="Body Text First Indent"/>
    <w:basedOn w:val="8"/>
    <w:autoRedefine/>
    <w:qFormat/>
    <w:uiPriority w:val="0"/>
    <w:pPr>
      <w:ind w:firstLine="420" w:firstLineChars="100"/>
    </w:p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autoRedefine/>
    <w:qFormat/>
    <w:uiPriority w:val="0"/>
    <w:rPr>
      <w:b/>
    </w:rPr>
  </w:style>
  <w:style w:type="character" w:styleId="22">
    <w:name w:val="Hyperlink"/>
    <w:basedOn w:val="20"/>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0"/>
    <w:autoRedefine/>
    <w:qFormat/>
    <w:uiPriority w:val="99"/>
    <w:rPr>
      <w:sz w:val="21"/>
      <w:szCs w:val="21"/>
    </w:rPr>
  </w:style>
  <w:style w:type="paragraph" w:customStyle="1" w:styleId="24">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5">
    <w:name w:val="null3"/>
    <w:autoRedefine/>
    <w:hidden/>
    <w:qFormat/>
    <w:uiPriority w:val="0"/>
    <w:rPr>
      <w:rFonts w:hint="eastAsia" w:asciiTheme="minorHAnsi" w:hAnsiTheme="minorHAnsi" w:eastAsiaTheme="minorEastAsia" w:cstheme="minorBidi"/>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character" w:customStyle="1" w:styleId="27">
    <w:name w:val="font11"/>
    <w:basedOn w:val="20"/>
    <w:autoRedefine/>
    <w:qFormat/>
    <w:uiPriority w:val="0"/>
    <w:rPr>
      <w:rFonts w:hint="eastAsia" w:ascii="宋体" w:hAnsi="宋体" w:eastAsia="宋体" w:cs="宋体"/>
      <w:color w:val="000000"/>
      <w:sz w:val="22"/>
      <w:szCs w:val="22"/>
      <w:u w:val="none"/>
    </w:rPr>
  </w:style>
  <w:style w:type="character" w:customStyle="1" w:styleId="28">
    <w:name w:val="font41"/>
    <w:basedOn w:val="20"/>
    <w:autoRedefine/>
    <w:qFormat/>
    <w:uiPriority w:val="0"/>
    <w:rPr>
      <w:rFonts w:hint="eastAsia" w:ascii="仿宋" w:hAnsi="仿宋" w:eastAsia="仿宋" w:cs="仿宋"/>
      <w:b/>
      <w:bCs/>
      <w:color w:val="000000"/>
      <w:sz w:val="28"/>
      <w:szCs w:val="28"/>
      <w:u w:val="none"/>
    </w:rPr>
  </w:style>
  <w:style w:type="character" w:customStyle="1" w:styleId="29">
    <w:name w:val="15"/>
    <w:basedOn w:val="20"/>
    <w:autoRedefine/>
    <w:qFormat/>
    <w:uiPriority w:val="0"/>
    <w:rPr>
      <w:rFonts w:hint="default" w:ascii="Times New Roman" w:hAnsi="Times New Roman" w:cs="Times New Roman"/>
      <w:b/>
    </w:rPr>
  </w:style>
  <w:style w:type="character" w:customStyle="1" w:styleId="30">
    <w:name w:val="批注框文本 Char"/>
    <w:basedOn w:val="20"/>
    <w:link w:val="11"/>
    <w:autoRedefine/>
    <w:qFormat/>
    <w:uiPriority w:val="0"/>
    <w:rPr>
      <w:rFonts w:asciiTheme="minorHAnsi" w:hAnsiTheme="minorHAnsi" w:eastAsiaTheme="minorEastAsia" w:cstheme="minorBidi"/>
      <w:kern w:val="2"/>
      <w:sz w:val="18"/>
      <w:szCs w:val="18"/>
    </w:rPr>
  </w:style>
  <w:style w:type="character" w:customStyle="1" w:styleId="31">
    <w:name w:val="批注文字 Char"/>
    <w:basedOn w:val="20"/>
    <w:link w:val="7"/>
    <w:autoRedefine/>
    <w:qFormat/>
    <w:uiPriority w:val="99"/>
    <w:rPr>
      <w:rFonts w:asciiTheme="minorHAnsi" w:hAnsiTheme="minorHAnsi" w:eastAsiaTheme="minorEastAsia" w:cstheme="minorBidi"/>
      <w:kern w:val="2"/>
      <w:sz w:val="21"/>
      <w:szCs w:val="24"/>
    </w:rPr>
  </w:style>
  <w:style w:type="character" w:customStyle="1" w:styleId="32">
    <w:name w:val="批注主题 Char"/>
    <w:basedOn w:val="31"/>
    <w:link w:val="16"/>
    <w:autoRedefine/>
    <w:qFormat/>
    <w:uiPriority w:val="0"/>
  </w:style>
  <w:style w:type="character" w:customStyle="1" w:styleId="33">
    <w:name w:val="文档结构图 Char"/>
    <w:basedOn w:val="20"/>
    <w:link w:val="6"/>
    <w:autoRedefine/>
    <w:qFormat/>
    <w:uiPriority w:val="0"/>
    <w:rPr>
      <w:rFonts w:ascii="宋体" w:hAnsiTheme="minorHAnsi" w:cstheme="minorBidi"/>
      <w:kern w:val="2"/>
      <w:sz w:val="18"/>
      <w:szCs w:val="18"/>
    </w:rPr>
  </w:style>
  <w:style w:type="character" w:customStyle="1" w:styleId="34">
    <w:name w:val="标题 5 Char"/>
    <w:basedOn w:val="20"/>
    <w:link w:val="4"/>
    <w:autoRedefine/>
    <w:qFormat/>
    <w:uiPriority w:val="0"/>
    <w:rPr>
      <w:rFonts w:asciiTheme="minorHAnsi" w:hAnsiTheme="minorHAnsi" w:eastAsiaTheme="minorEastAsia" w:cstheme="minorBidi"/>
      <w:b/>
      <w:bCs/>
      <w:kern w:val="2"/>
      <w:sz w:val="28"/>
      <w:szCs w:val="28"/>
    </w:rPr>
  </w:style>
  <w:style w:type="character" w:customStyle="1" w:styleId="35">
    <w:name w:val="标题 6 Char"/>
    <w:basedOn w:val="20"/>
    <w:link w:val="5"/>
    <w:autoRedefine/>
    <w:qFormat/>
    <w:uiPriority w:val="0"/>
    <w:rPr>
      <w:rFonts w:asciiTheme="majorHAnsi" w:hAnsiTheme="majorHAnsi" w:eastAsiaTheme="majorEastAsia" w:cstheme="majorBidi"/>
      <w:b/>
      <w:bCs/>
      <w:kern w:val="2"/>
      <w:sz w:val="24"/>
      <w:szCs w:val="24"/>
    </w:rPr>
  </w:style>
  <w:style w:type="character" w:customStyle="1" w:styleId="36">
    <w:name w:val="font51"/>
    <w:basedOn w:val="20"/>
    <w:autoRedefine/>
    <w:qFormat/>
    <w:uiPriority w:val="0"/>
    <w:rPr>
      <w:rFonts w:ascii="微软雅黑" w:hAnsi="微软雅黑" w:eastAsia="微软雅黑" w:cs="微软雅黑"/>
      <w:color w:val="000000"/>
      <w:sz w:val="24"/>
      <w:szCs w:val="24"/>
      <w:u w:val="none"/>
    </w:rPr>
  </w:style>
  <w:style w:type="character" w:customStyle="1" w:styleId="37">
    <w:name w:val="font21"/>
    <w:basedOn w:val="20"/>
    <w:autoRedefine/>
    <w:qFormat/>
    <w:uiPriority w:val="0"/>
    <w:rPr>
      <w:rFonts w:hint="eastAsia" w:ascii="宋体" w:hAnsi="宋体" w:eastAsia="宋体" w:cs="宋体"/>
      <w:color w:val="000000"/>
      <w:sz w:val="21"/>
      <w:szCs w:val="21"/>
      <w:u w:val="none"/>
    </w:rPr>
  </w:style>
  <w:style w:type="character" w:customStyle="1" w:styleId="38">
    <w:name w:val="font31"/>
    <w:basedOn w:val="20"/>
    <w:autoRedefine/>
    <w:qFormat/>
    <w:uiPriority w:val="0"/>
    <w:rPr>
      <w:rFonts w:ascii="微软雅黑" w:hAnsi="微软雅黑" w:eastAsia="微软雅黑" w:cs="微软雅黑"/>
      <w:color w:val="000000"/>
      <w:sz w:val="21"/>
      <w:szCs w:val="21"/>
      <w:u w:val="none"/>
    </w:rPr>
  </w:style>
  <w:style w:type="character" w:customStyle="1" w:styleId="39">
    <w:name w:val="edittexttarea"/>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69512-B0E3-4E46-B76A-5DEE69DC362D}">
  <ds:schemaRefs/>
</ds:datastoreItem>
</file>

<file path=docProps/app.xml><?xml version="1.0" encoding="utf-8"?>
<Properties xmlns="http://schemas.openxmlformats.org/officeDocument/2006/extended-properties" xmlns:vt="http://schemas.openxmlformats.org/officeDocument/2006/docPropsVTypes">
  <Template>Normal</Template>
  <Pages>119</Pages>
  <Words>51467</Words>
  <Characters>59084</Characters>
  <Lines>374</Lines>
  <Paragraphs>105</Paragraphs>
  <TotalTime>24</TotalTime>
  <ScaleCrop>false</ScaleCrop>
  <LinksUpToDate>false</LinksUpToDate>
  <CharactersWithSpaces>60886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2023-11-20T09:29:00Z</dcterms:created>
  <dc:creator>SEEWO</dc:creator>
  <cp:lastModifiedBy>user</cp:lastModifiedBy>
  <dcterms:modified xsi:type="dcterms:W3CDTF">2024-04-29T08:55:57Z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FFD9B8F84A5D4C4C82D862371EE12F96_13</vt:lpwstr>
  </property>
</Properties>
</file>